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1"/>
        </w:numPr>
        <w:shd w:val="clear" w:color="auto" w:fill="auto"/>
        <w:tabs>
          <w:tab w:val="left" w:pos="180"/>
        </w:tabs>
        <w:spacing w:before="0" w:after="74" w:line="120" w:lineRule="exact"/>
        <w:ind w:left="60"/>
      </w:pPr>
      <w:r>
        <w:t>Mülkiyeti Gazipaşa Belediyesine ait, Pazarcı Mahallesinde bulunan ve aşağıda durumları gösterilen Taşınmazlar 2886 Sayılı Devlet İhale Kanununun 45. maddesine göre açık teklif usulü ile satılacaktır.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20" w:line="120" w:lineRule="exact"/>
        <w:ind w:left="60"/>
      </w:pPr>
      <w:r>
        <w:t xml:space="preserve">İhaleler 19.11.2012 tarihinde Pazartesi günü Gazipaşa </w:t>
      </w:r>
      <w:r>
        <w:t>Belediyesi toplantı salonunda İhale Komisyonu huzurunda başlayacaktır.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206" w:lineRule="exact"/>
        <w:ind w:left="60" w:right="80"/>
      </w:pPr>
      <w:r>
        <w:t xml:space="preserve">İHALEYE KATILMA ŞARTLARI VE İSTENİLEN BELGELER; İsteklilerin aşağıda belirtilen belgelerin </w:t>
      </w:r>
      <w:proofErr w:type="spellStart"/>
      <w:r>
        <w:t>asıllan</w:t>
      </w:r>
      <w:proofErr w:type="spellEnd"/>
      <w:r>
        <w:t xml:space="preserve"> veya noter tasdikli suretleri ile birlikte ihale gün ve saatinde ihalenin yapılacağı s</w:t>
      </w:r>
      <w:r>
        <w:t>alonda hazır bulunmaları veya 2886 sayılı kanunun 37. Maddesi hükümlerine uygun olarak düzenleyecekleri tekliflerini iadeli taahhütlü olarak Gazipaşa Belediyesine göndermeleri şarttır: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460"/>
      </w:pPr>
      <w:r>
        <w:t>a) Kanuni ikametgâh belgesi ibraz etmek, Tüzel kişiler için Tüzel kişil</w:t>
      </w:r>
      <w:r>
        <w:t xml:space="preserve">iğin </w:t>
      </w:r>
      <w:proofErr w:type="spellStart"/>
      <w:r>
        <w:t>yadatüzel</w:t>
      </w:r>
      <w:proofErr w:type="spellEnd"/>
      <w:r>
        <w:t xml:space="preserve"> kişiliği temsile yetkili kişinin Kanuni İkametgâh Belgesi,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60"/>
      </w:pPr>
      <w:r>
        <w:t>• b) Geçici teminatlarını yatırdıklarına dair makbuz veya belge,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460"/>
      </w:pPr>
      <w:r>
        <w:t>- e) İhale Dosya bedelinin ödendiğini gösterir makbuz veya belge,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06" w:lineRule="exact"/>
        <w:ind w:left="460"/>
      </w:pPr>
      <w:r>
        <w:t xml:space="preserve">Gerçek kişiler için nüfus kayıt örneği, tüzel </w:t>
      </w:r>
      <w:r>
        <w:t>kişiler için ihalenin yapıldığı yıl içinde alınmış, tüzel kişiliğin kayıtlı olduğuna dair oda veya kurum belgesi,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2"/>
        </w:numPr>
        <w:shd w:val="clear" w:color="auto" w:fill="auto"/>
        <w:tabs>
          <w:tab w:val="left" w:pos="599"/>
        </w:tabs>
        <w:spacing w:before="0" w:after="0" w:line="206" w:lineRule="exact"/>
        <w:ind w:left="460"/>
      </w:pPr>
      <w:r>
        <w:t xml:space="preserve">İhaleye </w:t>
      </w:r>
      <w:proofErr w:type="gramStart"/>
      <w:r>
        <w:t>vekaleten</w:t>
      </w:r>
      <w:proofErr w:type="gramEnd"/>
      <w:r>
        <w:t xml:space="preserve"> giriliyorsa gerçek veya tüzel kişiliği temsile yetkili olduklarına dair noter tasdikli vekaletname,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0" w:line="206" w:lineRule="exact"/>
        <w:ind w:left="460"/>
      </w:pPr>
      <w:r>
        <w:t>İmza beyannamesi veya im</w:t>
      </w:r>
      <w:r>
        <w:t>za sirküleri;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06" w:lineRule="exact"/>
        <w:ind w:left="460"/>
      </w:pPr>
      <w:r>
        <w:t xml:space="preserve">Ortak girişim olarak ihaleye </w:t>
      </w:r>
      <w:proofErr w:type="spellStart"/>
      <w:r>
        <w:t>katılınması</w:t>
      </w:r>
      <w:proofErr w:type="spellEnd"/>
      <w:r>
        <w:t xml:space="preserve"> halinde ortaklarca imzalı ve noter tasdikli ortak girişim beyannamesi,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06" w:lineRule="exact"/>
        <w:ind w:left="460"/>
      </w:pPr>
      <w:r>
        <w:t xml:space="preserve">İsteklilerin yabancı uyruklu olması halinde, Türkiye Cumhuriyeti sınırlan içerisinde gayrimenkul iktisabı edebileceğini gösterir, </w:t>
      </w:r>
      <w:r>
        <w:t>Dışişleri Bakanlığı’ndan alınmış belgeyi ibraz etmeleri.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0" w:line="206" w:lineRule="exact"/>
        <w:ind w:left="460" w:right="80"/>
      </w:pPr>
      <w:r>
        <w:t>İsteklinin yabancı uyruklu şirket olması halinde (h) bendindeki yabancı uyruklu gerçek kişilerde aranan belge ile birlikte (Bu belgenin şirkete uygunluğu gerekmektedir.) Türkiye’de şirketin faaliyeti</w:t>
      </w:r>
      <w:r>
        <w:t>ne müsaade edildiğini gösterir ilgili makamlardan alman belgenin ibrazı.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460"/>
      </w:pPr>
      <w:r>
        <w:t>j) Gazipaşa Belediyesinde vadesi geçmiş borcu olmadığına dair belge;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460"/>
      </w:pPr>
      <w:r>
        <w:t>k) 2886 Sayılı D.t.K.’</w:t>
      </w:r>
      <w:proofErr w:type="spellStart"/>
      <w:r>
        <w:t>na</w:t>
      </w:r>
      <w:proofErr w:type="spellEnd"/>
      <w:r>
        <w:t xml:space="preserve"> göre ihalelere katılmaktan yasaklı veya cezalı olmadığına dair beyan.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460"/>
      </w:pPr>
      <w:r>
        <w:t xml:space="preserve">1) Tebligat için </w:t>
      </w:r>
      <w:r>
        <w:t>Türkiye’de adres beyanı,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 w:line="206" w:lineRule="exact"/>
        <w:ind w:left="60"/>
      </w:pPr>
      <w:r>
        <w:t>Taşınmaz hakkında geniş bilgi ve şartnameler her gün mesai saatleri içerisinde Mali Hizmetler Müdürlüğü’nden temin edilebilir. Dosya satın alma bedeli 100,00-TL (Yüz) ‘</w:t>
      </w:r>
      <w:proofErr w:type="spellStart"/>
      <w:r>
        <w:t>dir</w:t>
      </w:r>
      <w:proofErr w:type="spellEnd"/>
      <w:r>
        <w:t>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60"/>
      </w:pPr>
      <w:r>
        <w:t>İhaleye katılabilmek için ihale dosyası satın almak zorunl</w:t>
      </w:r>
      <w:r>
        <w:t>udur.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60"/>
      </w:pPr>
      <w:r>
        <w:t xml:space="preserve">(Şartname; mesai saatleri içerisinde Mali Hizmetler Müdürlüğünde ve Gazipaşa Belediyesi internet sitesinde </w:t>
      </w:r>
      <w:r>
        <w:rPr>
          <w:rStyle w:val="Gvdemetni1"/>
        </w:rPr>
        <w:t>f</w:t>
      </w:r>
      <w:hyperlink r:id="rId7" w:history="1">
        <w:r>
          <w:rPr>
            <w:rStyle w:val="Kpr"/>
          </w:rPr>
          <w:t>www.gazipasa.bel.tr1</w:t>
        </w:r>
      </w:hyperlink>
      <w:r>
        <w:rPr>
          <w:lang w:val="en-US"/>
        </w:rPr>
        <w:t xml:space="preserve"> </w:t>
      </w:r>
      <w:r>
        <w:t>ücretsiz olarak görülebilir.)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206" w:lineRule="exact"/>
        <w:ind w:left="60"/>
      </w:pPr>
      <w:r>
        <w:t xml:space="preserve">İhale ve satıştan mütevekkil bütün vergi, resim, </w:t>
      </w:r>
      <w:r>
        <w:t>tapu harçları, alım satım ve sözleşme giderleri ihale edilene aittir.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206" w:lineRule="exact"/>
        <w:ind w:left="60"/>
      </w:pPr>
      <w:r>
        <w:t>İhaleyi alan, ihale bedelinin tamamını peşin olarak ödeyecektir.</w:t>
      </w:r>
    </w:p>
    <w:p w:rsidR="00D74DD5" w:rsidRDefault="000B62CF">
      <w:pPr>
        <w:pStyle w:val="Gvdemetni0"/>
        <w:framePr w:w="13128" w:h="5052" w:hRule="exact" w:wrap="none" w:vAnchor="page" w:hAnchor="page" w:x="1894" w:y="3347"/>
        <w:shd w:val="clear" w:color="auto" w:fill="auto"/>
        <w:spacing w:before="0" w:after="0" w:line="206" w:lineRule="exact"/>
        <w:ind w:left="11800" w:right="80"/>
        <w:jc w:val="right"/>
      </w:pPr>
      <w:proofErr w:type="spellStart"/>
      <w:r>
        <w:t>CemburakÖZGENÇ</w:t>
      </w:r>
      <w:proofErr w:type="spellEnd"/>
      <w:r>
        <w:t xml:space="preserve"> Belediye Başkanı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1171"/>
        <w:gridCol w:w="1210"/>
        <w:gridCol w:w="1373"/>
        <w:gridCol w:w="878"/>
        <w:gridCol w:w="1104"/>
        <w:gridCol w:w="926"/>
        <w:gridCol w:w="1411"/>
        <w:gridCol w:w="1382"/>
        <w:gridCol w:w="1411"/>
        <w:gridCol w:w="1114"/>
      </w:tblGrid>
      <w:tr w:rsidR="00D74DD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2"/>
              </w:rPr>
              <w:t>İLİ</w:t>
            </w:r>
          </w:p>
        </w:tc>
        <w:tc>
          <w:tcPr>
            <w:tcW w:w="1210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40"/>
              <w:jc w:val="left"/>
            </w:pPr>
            <w:r>
              <w:rPr>
                <w:rStyle w:val="Gvdemetni2"/>
              </w:rPr>
              <w:t>İLÇESİ</w:t>
            </w:r>
          </w:p>
        </w:tc>
        <w:tc>
          <w:tcPr>
            <w:tcW w:w="1373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right="240"/>
              <w:jc w:val="right"/>
            </w:pPr>
            <w:r>
              <w:rPr>
                <w:rStyle w:val="Gvdemetni2"/>
              </w:rPr>
              <w:t>MAHALLESİ</w:t>
            </w:r>
          </w:p>
        </w:tc>
        <w:tc>
          <w:tcPr>
            <w:tcW w:w="878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ADA</w:t>
            </w:r>
          </w:p>
        </w:tc>
        <w:tc>
          <w:tcPr>
            <w:tcW w:w="1104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40"/>
              <w:jc w:val="left"/>
            </w:pPr>
            <w:r>
              <w:rPr>
                <w:rStyle w:val="Gvdemetni2"/>
              </w:rPr>
              <w:t>PARSEL</w:t>
            </w:r>
          </w:p>
        </w:tc>
        <w:tc>
          <w:tcPr>
            <w:tcW w:w="926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40"/>
              <w:jc w:val="left"/>
            </w:pPr>
            <w:r>
              <w:rPr>
                <w:rStyle w:val="Gvdemetni2"/>
              </w:rPr>
              <w:t>CİNSİ</w:t>
            </w:r>
          </w:p>
        </w:tc>
        <w:tc>
          <w:tcPr>
            <w:tcW w:w="141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 xml:space="preserve">ALANI </w:t>
            </w:r>
            <w:proofErr w:type="gramStart"/>
            <w:r>
              <w:rPr>
                <w:rStyle w:val="Gvdemetni2"/>
              </w:rPr>
              <w:t>(</w:t>
            </w:r>
            <w:proofErr w:type="gramEnd"/>
            <w:r>
              <w:rPr>
                <w:rStyle w:val="Gvdemetni2"/>
              </w:rPr>
              <w:t>m21</w:t>
            </w:r>
          </w:p>
        </w:tc>
        <w:tc>
          <w:tcPr>
            <w:tcW w:w="1382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TAHMİNİ</w:t>
            </w:r>
          </w:p>
        </w:tc>
        <w:tc>
          <w:tcPr>
            <w:tcW w:w="141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Gvdemetni2"/>
              </w:rPr>
              <w:t>GEÇİCİ</w:t>
            </w:r>
          </w:p>
        </w:tc>
        <w:tc>
          <w:tcPr>
            <w:tcW w:w="1114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00"/>
              <w:jc w:val="left"/>
            </w:pPr>
            <w:r>
              <w:rPr>
                <w:rStyle w:val="Gvdemetni2"/>
              </w:rPr>
              <w:t>İHALE SAATİ</w:t>
            </w:r>
          </w:p>
        </w:tc>
      </w:tr>
      <w:tr w:rsidR="00D74DD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5" w:type="dxa"/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Gvdemetni45ptKaln0ptbolukbraklyor"/>
              </w:rPr>
              <w:t>...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proofErr w:type="spellStart"/>
            <w:r>
              <w:rPr>
                <w:rStyle w:val="Gvdemetni2"/>
              </w:rPr>
              <w:t>BEDELfTLI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00"/>
              <w:jc w:val="left"/>
            </w:pPr>
            <w:proofErr w:type="spellStart"/>
            <w:r>
              <w:rPr>
                <w:rStyle w:val="Gvdemetni2"/>
              </w:rPr>
              <w:t>TEMINATfTLl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D74DD5">
            <w:pPr>
              <w:framePr w:w="12346" w:h="854" w:wrap="none" w:vAnchor="page" w:hAnchor="page" w:x="1899" w:y="8425"/>
              <w:rPr>
                <w:sz w:val="10"/>
                <w:szCs w:val="10"/>
              </w:rPr>
            </w:pPr>
          </w:p>
        </w:tc>
      </w:tr>
      <w:tr w:rsidR="00D74DD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5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40"/>
              <w:jc w:val="left"/>
            </w:pPr>
            <w:r>
              <w:rPr>
                <w:rStyle w:val="Gvdemetni2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2"/>
              </w:rPr>
              <w:t>ANTALYA</w:t>
            </w:r>
          </w:p>
        </w:tc>
        <w:tc>
          <w:tcPr>
            <w:tcW w:w="1210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40"/>
              <w:jc w:val="left"/>
            </w:pPr>
            <w:r>
              <w:rPr>
                <w:rStyle w:val="Gvdemetni2"/>
              </w:rPr>
              <w:t>GAZİPAŞA</w:t>
            </w:r>
          </w:p>
        </w:tc>
        <w:tc>
          <w:tcPr>
            <w:tcW w:w="1373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PAZARCI</w:t>
            </w:r>
          </w:p>
        </w:tc>
        <w:tc>
          <w:tcPr>
            <w:tcW w:w="878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364</w:t>
            </w:r>
          </w:p>
        </w:tc>
        <w:tc>
          <w:tcPr>
            <w:tcW w:w="1104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40"/>
              <w:jc w:val="left"/>
            </w:pPr>
            <w:r>
              <w:rPr>
                <w:rStyle w:val="Gvdemetni2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Arsa</w:t>
            </w:r>
          </w:p>
        </w:tc>
        <w:tc>
          <w:tcPr>
            <w:tcW w:w="141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2.952,41 m2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708.580,00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Gvdemetni2"/>
              </w:rPr>
              <w:t>21.257,40</w:t>
            </w:r>
          </w:p>
        </w:tc>
        <w:tc>
          <w:tcPr>
            <w:tcW w:w="1114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00"/>
              <w:jc w:val="left"/>
            </w:pPr>
            <w:r>
              <w:rPr>
                <w:rStyle w:val="Gvdemetni2"/>
              </w:rPr>
              <w:t>09.00</w:t>
            </w:r>
          </w:p>
        </w:tc>
      </w:tr>
      <w:tr w:rsidR="00D74DD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5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40"/>
              <w:jc w:val="left"/>
            </w:pPr>
            <w:r>
              <w:rPr>
                <w:rStyle w:val="Gvdemetni2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2"/>
              </w:rPr>
              <w:t>ANTALYA</w:t>
            </w:r>
          </w:p>
        </w:tc>
        <w:tc>
          <w:tcPr>
            <w:tcW w:w="1210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40"/>
              <w:jc w:val="left"/>
            </w:pPr>
            <w:r>
              <w:rPr>
                <w:rStyle w:val="Gvdemetni2"/>
              </w:rPr>
              <w:t>GAZİPAŞA</w:t>
            </w:r>
          </w:p>
        </w:tc>
        <w:tc>
          <w:tcPr>
            <w:tcW w:w="1373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PAZARCI</w:t>
            </w:r>
          </w:p>
        </w:tc>
        <w:tc>
          <w:tcPr>
            <w:tcW w:w="878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60"/>
              <w:jc w:val="left"/>
            </w:pPr>
            <w:r>
              <w:rPr>
                <w:rStyle w:val="Gvdemetni2"/>
              </w:rPr>
              <w:t>22</w:t>
            </w:r>
          </w:p>
        </w:tc>
        <w:tc>
          <w:tcPr>
            <w:tcW w:w="1104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40"/>
              <w:jc w:val="left"/>
            </w:pPr>
            <w:r>
              <w:rPr>
                <w:rStyle w:val="Gvdemetni2"/>
              </w:rPr>
              <w:t>82</w:t>
            </w:r>
          </w:p>
        </w:tc>
        <w:tc>
          <w:tcPr>
            <w:tcW w:w="926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Tarla</w:t>
            </w:r>
          </w:p>
        </w:tc>
        <w:tc>
          <w:tcPr>
            <w:tcW w:w="1411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3.084,00 m2</w:t>
            </w:r>
          </w:p>
        </w:tc>
        <w:tc>
          <w:tcPr>
            <w:tcW w:w="1382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2"/>
              </w:rPr>
              <w:t>740.160,00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Gvdemetni2"/>
              </w:rPr>
              <w:t>22.204,80</w:t>
            </w:r>
          </w:p>
        </w:tc>
        <w:tc>
          <w:tcPr>
            <w:tcW w:w="1114" w:type="dxa"/>
            <w:shd w:val="clear" w:color="auto" w:fill="FFFFFF"/>
          </w:tcPr>
          <w:p w:rsidR="00D74DD5" w:rsidRDefault="000B62CF">
            <w:pPr>
              <w:pStyle w:val="Gvdemetni0"/>
              <w:framePr w:w="12346" w:h="854" w:wrap="none" w:vAnchor="page" w:hAnchor="page" w:x="1899" w:y="8425"/>
              <w:shd w:val="clear" w:color="auto" w:fill="auto"/>
              <w:spacing w:before="0" w:after="0" w:line="120" w:lineRule="exact"/>
              <w:ind w:left="200"/>
              <w:jc w:val="left"/>
            </w:pPr>
            <w:r>
              <w:rPr>
                <w:rStyle w:val="Gvdemetni2"/>
              </w:rPr>
              <w:t>09.30</w:t>
            </w:r>
          </w:p>
        </w:tc>
      </w:tr>
    </w:tbl>
    <w:p w:rsidR="00D74DD5" w:rsidRDefault="000B62CF">
      <w:pPr>
        <w:pStyle w:val="Tabloyazs0"/>
        <w:framePr w:wrap="none" w:vAnchor="page" w:hAnchor="page" w:x="13121" w:y="9289"/>
        <w:shd w:val="clear" w:color="auto" w:fill="auto"/>
        <w:spacing w:line="120" w:lineRule="exact"/>
      </w:pPr>
      <w:r>
        <w:t>(</w:t>
      </w:r>
      <w:hyperlink r:id="rId8" w:history="1">
        <w:r>
          <w:rPr>
            <w:rStyle w:val="Kpr"/>
          </w:rPr>
          <w:t>www.ilan.gov.tr</w:t>
        </w:r>
      </w:hyperlink>
      <w:r>
        <w:t xml:space="preserve">) </w:t>
      </w:r>
      <w:r>
        <w:rPr>
          <w:lang w:val="tr-TR"/>
        </w:rPr>
        <w:t>Basın: 68476</w:t>
      </w:r>
    </w:p>
    <w:p w:rsidR="00D74DD5" w:rsidRDefault="00D74DD5">
      <w:pPr>
        <w:rPr>
          <w:sz w:val="2"/>
          <w:szCs w:val="2"/>
        </w:rPr>
      </w:pPr>
    </w:p>
    <w:sectPr w:rsidR="00D74DD5" w:rsidSect="00D74DD5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CF" w:rsidRDefault="000B62CF" w:rsidP="00D74DD5">
      <w:r>
        <w:separator/>
      </w:r>
    </w:p>
  </w:endnote>
  <w:endnote w:type="continuationSeparator" w:id="0">
    <w:p w:rsidR="000B62CF" w:rsidRDefault="000B62CF" w:rsidP="00D7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CF" w:rsidRDefault="000B62CF"/>
  </w:footnote>
  <w:footnote w:type="continuationSeparator" w:id="0">
    <w:p w:rsidR="000B62CF" w:rsidRDefault="000B62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593"/>
    <w:multiLevelType w:val="multilevel"/>
    <w:tmpl w:val="A57ABB60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92622"/>
    <w:multiLevelType w:val="multilevel"/>
    <w:tmpl w:val="9A9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4DD5"/>
    <w:rsid w:val="000B62CF"/>
    <w:rsid w:val="00130E78"/>
    <w:rsid w:val="00D7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DD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74DD5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D7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1">
    <w:name w:val="Gövde metni"/>
    <w:basedOn w:val="Gvdemetni"/>
    <w:rsid w:val="00D74DD5"/>
    <w:rPr>
      <w:color w:val="000000"/>
      <w:w w:val="100"/>
      <w:position w:val="0"/>
      <w:u w:val="single"/>
      <w:lang w:val="en-US"/>
    </w:rPr>
  </w:style>
  <w:style w:type="character" w:customStyle="1" w:styleId="Gvdemetni2">
    <w:name w:val="Gövde metni"/>
    <w:basedOn w:val="Gvdemetni"/>
    <w:rsid w:val="00D74DD5"/>
    <w:rPr>
      <w:color w:val="000000"/>
      <w:w w:val="100"/>
      <w:position w:val="0"/>
      <w:lang w:val="tr-TR"/>
    </w:rPr>
  </w:style>
  <w:style w:type="character" w:customStyle="1" w:styleId="Gvdemetni45ptKaln0ptbolukbraklyor">
    <w:name w:val="Gövde metni + 4;5 pt;Kalın;0 pt boşluk bırakılıyor"/>
    <w:basedOn w:val="Gvdemetni"/>
    <w:rsid w:val="00D74DD5"/>
    <w:rPr>
      <w:b/>
      <w:bCs/>
      <w:color w:val="000000"/>
      <w:spacing w:val="-5"/>
      <w:w w:val="100"/>
      <w:position w:val="0"/>
      <w:sz w:val="9"/>
      <w:szCs w:val="9"/>
      <w:lang w:val="tr-TR"/>
    </w:rPr>
  </w:style>
  <w:style w:type="character" w:customStyle="1" w:styleId="Tabloyazs">
    <w:name w:val="Tablo yazısı_"/>
    <w:basedOn w:val="VarsaylanParagrafYazTipi"/>
    <w:link w:val="Tabloyazs0"/>
    <w:rsid w:val="00D7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  <w:lang w:val="en-US"/>
    </w:rPr>
  </w:style>
  <w:style w:type="paragraph" w:customStyle="1" w:styleId="Gvdemetni0">
    <w:name w:val="Gövde metni"/>
    <w:basedOn w:val="Normal"/>
    <w:link w:val="Gvdemetni"/>
    <w:rsid w:val="00D74DD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3"/>
      <w:sz w:val="12"/>
      <w:szCs w:val="12"/>
    </w:rPr>
  </w:style>
  <w:style w:type="paragraph" w:customStyle="1" w:styleId="Tabloyazs0">
    <w:name w:val="Tablo yazısı"/>
    <w:basedOn w:val="Normal"/>
    <w:link w:val="Tabloyazs"/>
    <w:rsid w:val="00D74D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n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ipasa.bel.t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2012-11-07T08:26:00Z</dcterms:created>
  <dcterms:modified xsi:type="dcterms:W3CDTF">2012-11-07T08:26:00Z</dcterms:modified>
</cp:coreProperties>
</file>