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17A" w:rsidRDefault="00A85F44">
      <w:pPr>
        <w:pStyle w:val="Balk10"/>
        <w:keepNext/>
        <w:keepLines/>
        <w:shd w:val="clear" w:color="auto" w:fill="000000"/>
        <w:spacing w:after="126" w:line="270" w:lineRule="exact"/>
        <w:ind w:right="520"/>
      </w:pPr>
      <w:bookmarkStart w:id="0" w:name="bookmark0"/>
      <w:r>
        <w:rPr>
          <w:rStyle w:val="Balk11"/>
          <w:b/>
          <w:bCs/>
        </w:rPr>
        <w:t>T.C. GÖLBAŞI İCRA MÜDÜRLÜĞÜ TAŞINMAZIN AÇIK ARTIRMA İLANI</w:t>
      </w:r>
      <w:bookmarkEnd w:id="0"/>
    </w:p>
    <w:p w:rsidR="0072517A" w:rsidRDefault="00A85F44">
      <w:pPr>
        <w:pStyle w:val="Tabloyazs0"/>
        <w:framePr w:w="11045" w:wrap="notBeside" w:vAnchor="text" w:hAnchor="text" w:xAlign="center" w:y="1"/>
        <w:shd w:val="clear" w:color="auto" w:fill="auto"/>
        <w:spacing w:line="150" w:lineRule="exact"/>
      </w:pPr>
      <w:r>
        <w:t>2009/1416 TAL.</w:t>
      </w:r>
    </w:p>
    <w:p w:rsidR="0072517A" w:rsidRDefault="00A85F44">
      <w:pPr>
        <w:pStyle w:val="Tabloyazs0"/>
        <w:framePr w:w="11045" w:wrap="notBeside" w:vAnchor="text" w:hAnchor="text" w:xAlign="center" w:y="1"/>
        <w:shd w:val="clear" w:color="auto" w:fill="auto"/>
        <w:spacing w:line="150" w:lineRule="exact"/>
      </w:pPr>
      <w:r>
        <w:t>Satışına karar verilen taşınmazın cinsi, kıymeti, adedi, özellikleri</w:t>
      </w:r>
    </w:p>
    <w:tbl>
      <w:tblPr>
        <w:tblOverlap w:val="never"/>
        <w:tblW w:w="0" w:type="auto"/>
        <w:jc w:val="center"/>
        <w:tblLayout w:type="fixed"/>
        <w:tblCellMar>
          <w:left w:w="10" w:type="dxa"/>
          <w:right w:w="10" w:type="dxa"/>
        </w:tblCellMar>
        <w:tblLook w:val="04A0"/>
      </w:tblPr>
      <w:tblGrid>
        <w:gridCol w:w="1330"/>
        <w:gridCol w:w="691"/>
        <w:gridCol w:w="936"/>
        <w:gridCol w:w="1411"/>
        <w:gridCol w:w="2006"/>
        <w:gridCol w:w="1070"/>
        <w:gridCol w:w="1978"/>
        <w:gridCol w:w="1622"/>
      </w:tblGrid>
      <w:tr w:rsidR="0072517A">
        <w:trPr>
          <w:trHeight w:hRule="exact" w:val="326"/>
          <w:jc w:val="center"/>
        </w:trPr>
        <w:tc>
          <w:tcPr>
            <w:tcW w:w="1330" w:type="dxa"/>
            <w:tcBorders>
              <w:top w:val="single" w:sz="4" w:space="0" w:color="auto"/>
              <w:left w:val="single" w:sz="4" w:space="0" w:color="auto"/>
            </w:tcBorders>
            <w:shd w:val="clear" w:color="auto" w:fill="FFFFFF"/>
          </w:tcPr>
          <w:p w:rsidR="0072517A" w:rsidRDefault="00A85F44">
            <w:pPr>
              <w:pStyle w:val="Gvdemetni0"/>
              <w:framePr w:w="11045" w:wrap="notBeside" w:vAnchor="text" w:hAnchor="text" w:xAlign="center" w:y="1"/>
              <w:shd w:val="clear" w:color="auto" w:fill="auto"/>
              <w:spacing w:line="150" w:lineRule="exact"/>
              <w:jc w:val="center"/>
            </w:pPr>
            <w:r>
              <w:rPr>
                <w:rStyle w:val="Gvdemetni75ptKaln"/>
              </w:rPr>
              <w:t>Köyü</w:t>
            </w:r>
          </w:p>
        </w:tc>
        <w:tc>
          <w:tcPr>
            <w:tcW w:w="691" w:type="dxa"/>
            <w:tcBorders>
              <w:top w:val="single" w:sz="4" w:space="0" w:color="auto"/>
              <w:left w:val="single" w:sz="4" w:space="0" w:color="auto"/>
            </w:tcBorders>
            <w:shd w:val="clear" w:color="auto" w:fill="FFFFFF"/>
          </w:tcPr>
          <w:p w:rsidR="0072517A" w:rsidRDefault="00A85F44">
            <w:pPr>
              <w:pStyle w:val="Gvdemetni0"/>
              <w:framePr w:w="11045" w:wrap="notBeside" w:vAnchor="text" w:hAnchor="text" w:xAlign="center" w:y="1"/>
              <w:shd w:val="clear" w:color="auto" w:fill="auto"/>
              <w:spacing w:line="150" w:lineRule="exact"/>
              <w:ind w:left="200"/>
              <w:jc w:val="left"/>
            </w:pPr>
            <w:r>
              <w:rPr>
                <w:rStyle w:val="Gvdemetni75ptKaln"/>
              </w:rPr>
              <w:t>Ada</w:t>
            </w:r>
          </w:p>
        </w:tc>
        <w:tc>
          <w:tcPr>
            <w:tcW w:w="936" w:type="dxa"/>
            <w:tcBorders>
              <w:top w:val="single" w:sz="4" w:space="0" w:color="auto"/>
              <w:left w:val="single" w:sz="4" w:space="0" w:color="auto"/>
            </w:tcBorders>
            <w:shd w:val="clear" w:color="auto" w:fill="FFFFFF"/>
          </w:tcPr>
          <w:p w:rsidR="0072517A" w:rsidRDefault="00A85F44">
            <w:pPr>
              <w:pStyle w:val="Gvdemetni0"/>
              <w:framePr w:w="11045" w:wrap="notBeside" w:vAnchor="text" w:hAnchor="text" w:xAlign="center" w:y="1"/>
              <w:shd w:val="clear" w:color="auto" w:fill="auto"/>
              <w:spacing w:line="150" w:lineRule="exact"/>
              <w:jc w:val="center"/>
            </w:pPr>
            <w:r>
              <w:rPr>
                <w:rStyle w:val="Gvdemetni75ptKaln"/>
              </w:rPr>
              <w:t>Parsel</w:t>
            </w:r>
          </w:p>
        </w:tc>
        <w:tc>
          <w:tcPr>
            <w:tcW w:w="1411" w:type="dxa"/>
            <w:tcBorders>
              <w:top w:val="single" w:sz="4" w:space="0" w:color="auto"/>
              <w:left w:val="single" w:sz="4" w:space="0" w:color="auto"/>
            </w:tcBorders>
            <w:shd w:val="clear" w:color="auto" w:fill="FFFFFF"/>
          </w:tcPr>
          <w:p w:rsidR="0072517A" w:rsidRDefault="00A85F44">
            <w:pPr>
              <w:pStyle w:val="Gvdemetni0"/>
              <w:framePr w:w="11045" w:wrap="notBeside" w:vAnchor="text" w:hAnchor="text" w:xAlign="center" w:y="1"/>
              <w:shd w:val="clear" w:color="auto" w:fill="auto"/>
              <w:spacing w:line="150" w:lineRule="exact"/>
              <w:ind w:left="380"/>
              <w:jc w:val="left"/>
            </w:pPr>
            <w:r>
              <w:rPr>
                <w:rStyle w:val="Gvdemetni75ptKaln"/>
              </w:rPr>
              <w:t>Miktarı</w:t>
            </w:r>
          </w:p>
        </w:tc>
        <w:tc>
          <w:tcPr>
            <w:tcW w:w="2006" w:type="dxa"/>
            <w:tcBorders>
              <w:top w:val="single" w:sz="4" w:space="0" w:color="auto"/>
              <w:left w:val="single" w:sz="4" w:space="0" w:color="auto"/>
            </w:tcBorders>
            <w:shd w:val="clear" w:color="auto" w:fill="FFFFFF"/>
          </w:tcPr>
          <w:p w:rsidR="0072517A" w:rsidRDefault="00A85F44">
            <w:pPr>
              <w:pStyle w:val="Gvdemetni0"/>
              <w:framePr w:w="11045" w:wrap="notBeside" w:vAnchor="text" w:hAnchor="text" w:xAlign="center" w:y="1"/>
              <w:shd w:val="clear" w:color="auto" w:fill="auto"/>
              <w:spacing w:line="150" w:lineRule="exact"/>
              <w:jc w:val="center"/>
            </w:pPr>
            <w:r>
              <w:rPr>
                <w:rStyle w:val="Gvdemetni75ptKaln"/>
              </w:rPr>
              <w:t>Cinsi</w:t>
            </w:r>
          </w:p>
        </w:tc>
        <w:tc>
          <w:tcPr>
            <w:tcW w:w="1070" w:type="dxa"/>
            <w:tcBorders>
              <w:top w:val="single" w:sz="4" w:space="0" w:color="auto"/>
              <w:left w:val="single" w:sz="4" w:space="0" w:color="auto"/>
            </w:tcBorders>
            <w:shd w:val="clear" w:color="auto" w:fill="FFFFFF"/>
          </w:tcPr>
          <w:p w:rsidR="0072517A" w:rsidRDefault="00A85F44">
            <w:pPr>
              <w:pStyle w:val="Gvdemetni0"/>
              <w:framePr w:w="11045" w:wrap="notBeside" w:vAnchor="text" w:hAnchor="text" w:xAlign="center" w:y="1"/>
              <w:shd w:val="clear" w:color="auto" w:fill="auto"/>
              <w:spacing w:line="150" w:lineRule="exact"/>
              <w:jc w:val="center"/>
            </w:pPr>
            <w:r>
              <w:rPr>
                <w:rStyle w:val="Gvdemetni75ptKaln"/>
              </w:rPr>
              <w:t>Hissesi</w:t>
            </w:r>
          </w:p>
        </w:tc>
        <w:tc>
          <w:tcPr>
            <w:tcW w:w="1978" w:type="dxa"/>
            <w:tcBorders>
              <w:top w:val="single" w:sz="4" w:space="0" w:color="auto"/>
              <w:left w:val="single" w:sz="4" w:space="0" w:color="auto"/>
            </w:tcBorders>
            <w:shd w:val="clear" w:color="auto" w:fill="FFFFFF"/>
          </w:tcPr>
          <w:p w:rsidR="0072517A" w:rsidRDefault="00A85F44">
            <w:pPr>
              <w:pStyle w:val="Gvdemetni0"/>
              <w:framePr w:w="11045" w:wrap="notBeside" w:vAnchor="text" w:hAnchor="text" w:xAlign="center" w:y="1"/>
              <w:shd w:val="clear" w:color="auto" w:fill="auto"/>
              <w:spacing w:line="150" w:lineRule="exact"/>
              <w:jc w:val="center"/>
            </w:pPr>
            <w:r>
              <w:rPr>
                <w:rStyle w:val="Gvdemetni75ptKaln"/>
              </w:rPr>
              <w:t>Toplam Değeri</w:t>
            </w:r>
          </w:p>
        </w:tc>
        <w:tc>
          <w:tcPr>
            <w:tcW w:w="1622" w:type="dxa"/>
            <w:tcBorders>
              <w:top w:val="single" w:sz="4" w:space="0" w:color="auto"/>
              <w:left w:val="single" w:sz="4" w:space="0" w:color="auto"/>
              <w:right w:val="single" w:sz="4" w:space="0" w:color="auto"/>
            </w:tcBorders>
            <w:shd w:val="clear" w:color="auto" w:fill="FFFFFF"/>
          </w:tcPr>
          <w:p w:rsidR="0072517A" w:rsidRDefault="00A85F44">
            <w:pPr>
              <w:pStyle w:val="Gvdemetni0"/>
              <w:framePr w:w="11045" w:wrap="notBeside" w:vAnchor="text" w:hAnchor="text" w:xAlign="center" w:y="1"/>
              <w:shd w:val="clear" w:color="auto" w:fill="auto"/>
              <w:spacing w:line="150" w:lineRule="exact"/>
              <w:jc w:val="center"/>
            </w:pPr>
            <w:r>
              <w:rPr>
                <w:rStyle w:val="Gvdemetni75ptKaln"/>
              </w:rPr>
              <w:t>Saati</w:t>
            </w:r>
          </w:p>
        </w:tc>
      </w:tr>
      <w:tr w:rsidR="0072517A">
        <w:trPr>
          <w:trHeight w:hRule="exact" w:val="437"/>
          <w:jc w:val="center"/>
        </w:trPr>
        <w:tc>
          <w:tcPr>
            <w:tcW w:w="1330" w:type="dxa"/>
            <w:tcBorders>
              <w:top w:val="single" w:sz="4" w:space="0" w:color="auto"/>
              <w:left w:val="single" w:sz="4" w:space="0" w:color="auto"/>
              <w:bottom w:val="single" w:sz="4" w:space="0" w:color="auto"/>
            </w:tcBorders>
            <w:shd w:val="clear" w:color="auto" w:fill="FFFFFF"/>
          </w:tcPr>
          <w:p w:rsidR="0072517A" w:rsidRDefault="00A85F44">
            <w:pPr>
              <w:pStyle w:val="Gvdemetni0"/>
              <w:framePr w:w="11045" w:wrap="notBeside" w:vAnchor="text" w:hAnchor="text" w:xAlign="center" w:y="1"/>
              <w:shd w:val="clear" w:color="auto" w:fill="auto"/>
              <w:spacing w:line="150" w:lineRule="exact"/>
              <w:jc w:val="center"/>
            </w:pPr>
            <w:proofErr w:type="spellStart"/>
            <w:r>
              <w:rPr>
                <w:rStyle w:val="Gvdemetni75pt"/>
              </w:rPr>
              <w:t>Kızılcaşar</w:t>
            </w:r>
            <w:proofErr w:type="spellEnd"/>
          </w:p>
        </w:tc>
        <w:tc>
          <w:tcPr>
            <w:tcW w:w="691" w:type="dxa"/>
            <w:tcBorders>
              <w:top w:val="single" w:sz="4" w:space="0" w:color="auto"/>
              <w:left w:val="single" w:sz="4" w:space="0" w:color="auto"/>
              <w:bottom w:val="single" w:sz="4" w:space="0" w:color="auto"/>
            </w:tcBorders>
            <w:shd w:val="clear" w:color="auto" w:fill="FFFFFF"/>
          </w:tcPr>
          <w:p w:rsidR="0072517A" w:rsidRDefault="00A85F44">
            <w:pPr>
              <w:pStyle w:val="Gvdemetni0"/>
              <w:framePr w:w="11045" w:wrap="notBeside" w:vAnchor="text" w:hAnchor="text" w:xAlign="center" w:y="1"/>
              <w:shd w:val="clear" w:color="auto" w:fill="auto"/>
              <w:spacing w:line="150" w:lineRule="exact"/>
              <w:ind w:left="200"/>
              <w:jc w:val="left"/>
            </w:pPr>
            <w:r>
              <w:rPr>
                <w:rStyle w:val="Gvdemetni75pt"/>
              </w:rPr>
              <w:t>484</w:t>
            </w:r>
          </w:p>
        </w:tc>
        <w:tc>
          <w:tcPr>
            <w:tcW w:w="936" w:type="dxa"/>
            <w:tcBorders>
              <w:top w:val="single" w:sz="4" w:space="0" w:color="auto"/>
              <w:left w:val="single" w:sz="4" w:space="0" w:color="auto"/>
              <w:bottom w:val="single" w:sz="4" w:space="0" w:color="auto"/>
            </w:tcBorders>
            <w:shd w:val="clear" w:color="auto" w:fill="FFFFFF"/>
          </w:tcPr>
          <w:p w:rsidR="0072517A" w:rsidRDefault="00A85F44">
            <w:pPr>
              <w:pStyle w:val="Gvdemetni0"/>
              <w:framePr w:w="11045" w:wrap="notBeside" w:vAnchor="text" w:hAnchor="text" w:xAlign="center" w:y="1"/>
              <w:shd w:val="clear" w:color="auto" w:fill="auto"/>
              <w:spacing w:line="150" w:lineRule="exact"/>
              <w:jc w:val="center"/>
            </w:pPr>
            <w:r>
              <w:rPr>
                <w:rStyle w:val="Gvdemetni75pt"/>
              </w:rPr>
              <w:t>1</w:t>
            </w:r>
          </w:p>
        </w:tc>
        <w:tc>
          <w:tcPr>
            <w:tcW w:w="1411" w:type="dxa"/>
            <w:tcBorders>
              <w:top w:val="single" w:sz="4" w:space="0" w:color="auto"/>
              <w:left w:val="single" w:sz="4" w:space="0" w:color="auto"/>
              <w:bottom w:val="single" w:sz="4" w:space="0" w:color="auto"/>
            </w:tcBorders>
            <w:shd w:val="clear" w:color="auto" w:fill="FFFFFF"/>
          </w:tcPr>
          <w:p w:rsidR="0072517A" w:rsidRDefault="00A85F44">
            <w:pPr>
              <w:pStyle w:val="Gvdemetni0"/>
              <w:framePr w:w="11045" w:wrap="notBeside" w:vAnchor="text" w:hAnchor="text" w:xAlign="center" w:y="1"/>
              <w:shd w:val="clear" w:color="auto" w:fill="auto"/>
              <w:spacing w:line="158" w:lineRule="exact"/>
              <w:ind w:left="380"/>
              <w:jc w:val="left"/>
            </w:pPr>
            <w:r>
              <w:rPr>
                <w:rStyle w:val="Gvdemetni75pt"/>
              </w:rPr>
              <w:t>1124/64534 Arsa payı</w:t>
            </w:r>
          </w:p>
        </w:tc>
        <w:tc>
          <w:tcPr>
            <w:tcW w:w="2006" w:type="dxa"/>
            <w:tcBorders>
              <w:top w:val="single" w:sz="4" w:space="0" w:color="auto"/>
              <w:left w:val="single" w:sz="4" w:space="0" w:color="auto"/>
              <w:bottom w:val="single" w:sz="4" w:space="0" w:color="auto"/>
            </w:tcBorders>
            <w:shd w:val="clear" w:color="auto" w:fill="FFFFFF"/>
          </w:tcPr>
          <w:p w:rsidR="0072517A" w:rsidRDefault="00A85F44">
            <w:pPr>
              <w:pStyle w:val="Gvdemetni0"/>
              <w:framePr w:w="11045" w:wrap="notBeside" w:vAnchor="text" w:hAnchor="text" w:xAlign="center" w:y="1"/>
              <w:shd w:val="clear" w:color="auto" w:fill="auto"/>
              <w:spacing w:line="158" w:lineRule="exact"/>
              <w:jc w:val="center"/>
            </w:pPr>
            <w:r>
              <w:rPr>
                <w:rStyle w:val="Gvdemetni75pt"/>
              </w:rPr>
              <w:t xml:space="preserve">48 </w:t>
            </w:r>
            <w:proofErr w:type="spellStart"/>
            <w:r>
              <w:rPr>
                <w:rStyle w:val="Gvdemetni75pt"/>
              </w:rPr>
              <w:t>nolu</w:t>
            </w:r>
            <w:proofErr w:type="spellEnd"/>
            <w:r>
              <w:rPr>
                <w:rStyle w:val="Gvdemetni75pt"/>
              </w:rPr>
              <w:t xml:space="preserve"> mesken Tripleks</w:t>
            </w:r>
          </w:p>
        </w:tc>
        <w:tc>
          <w:tcPr>
            <w:tcW w:w="1070" w:type="dxa"/>
            <w:tcBorders>
              <w:top w:val="single" w:sz="4" w:space="0" w:color="auto"/>
              <w:left w:val="single" w:sz="4" w:space="0" w:color="auto"/>
              <w:bottom w:val="single" w:sz="4" w:space="0" w:color="auto"/>
            </w:tcBorders>
            <w:shd w:val="clear" w:color="auto" w:fill="FFFFFF"/>
          </w:tcPr>
          <w:p w:rsidR="0072517A" w:rsidRDefault="00A85F44">
            <w:pPr>
              <w:pStyle w:val="Gvdemetni0"/>
              <w:framePr w:w="11045" w:wrap="notBeside" w:vAnchor="text" w:hAnchor="text" w:xAlign="center" w:y="1"/>
              <w:shd w:val="clear" w:color="auto" w:fill="auto"/>
              <w:spacing w:line="150" w:lineRule="exact"/>
              <w:jc w:val="center"/>
            </w:pPr>
            <w:r>
              <w:rPr>
                <w:rStyle w:val="Gvdemetni75pt"/>
              </w:rPr>
              <w:t>Tam</w:t>
            </w:r>
          </w:p>
        </w:tc>
        <w:tc>
          <w:tcPr>
            <w:tcW w:w="1978" w:type="dxa"/>
            <w:tcBorders>
              <w:top w:val="single" w:sz="4" w:space="0" w:color="auto"/>
              <w:left w:val="single" w:sz="4" w:space="0" w:color="auto"/>
              <w:bottom w:val="single" w:sz="4" w:space="0" w:color="auto"/>
            </w:tcBorders>
            <w:shd w:val="clear" w:color="auto" w:fill="FFFFFF"/>
          </w:tcPr>
          <w:p w:rsidR="0072517A" w:rsidRDefault="00A85F44">
            <w:pPr>
              <w:pStyle w:val="Gvdemetni0"/>
              <w:framePr w:w="11045" w:wrap="notBeside" w:vAnchor="text" w:hAnchor="text" w:xAlign="center" w:y="1"/>
              <w:shd w:val="clear" w:color="auto" w:fill="auto"/>
              <w:spacing w:line="150" w:lineRule="exact"/>
              <w:jc w:val="center"/>
            </w:pPr>
            <w:r>
              <w:rPr>
                <w:rStyle w:val="Gvdemetni75pt"/>
              </w:rPr>
              <w:t>600.000.00 TL</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72517A" w:rsidRDefault="00A85F44">
            <w:pPr>
              <w:pStyle w:val="Gvdemetni0"/>
              <w:framePr w:w="11045" w:wrap="notBeside" w:vAnchor="text" w:hAnchor="text" w:xAlign="center" w:y="1"/>
              <w:shd w:val="clear" w:color="auto" w:fill="auto"/>
              <w:spacing w:line="150" w:lineRule="exact"/>
              <w:jc w:val="center"/>
            </w:pPr>
            <w:r>
              <w:rPr>
                <w:rStyle w:val="Gvdemetni75pt"/>
              </w:rPr>
              <w:t>11.00-11.05</w:t>
            </w:r>
          </w:p>
        </w:tc>
      </w:tr>
    </w:tbl>
    <w:p w:rsidR="0072517A" w:rsidRDefault="0072517A">
      <w:pPr>
        <w:rPr>
          <w:sz w:val="2"/>
          <w:szCs w:val="2"/>
        </w:rPr>
      </w:pPr>
    </w:p>
    <w:p w:rsidR="0072517A" w:rsidRDefault="00A85F44">
      <w:pPr>
        <w:pStyle w:val="Gvdemetni0"/>
        <w:shd w:val="clear" w:color="auto" w:fill="auto"/>
        <w:ind w:left="860" w:right="320"/>
      </w:pPr>
      <w:r>
        <w:t xml:space="preserve">Taşınmaz Atakent villaları adıyla bilinen site içersinde kapı numarası 48 yazılı villaya komşu villadır. Villa betonarme karkas, zemin+1. kat+2. kat ve çatı katı olmak üzere 4 kattan oluşan </w:t>
      </w:r>
      <w:proofErr w:type="spellStart"/>
      <w:r>
        <w:t>Fourleks</w:t>
      </w:r>
      <w:proofErr w:type="spellEnd"/>
      <w:r>
        <w:t xml:space="preserve"> yapıdır. Yaklaşık 370 M2 inşaat alanı bulunmakta olup, kaloriferli, kombili doğalgazlı, klimalıdır. Giriş Kapısı Çelik Kapı ve kapı sövesi cam tuğla ile dekore edilmiştir. Binanın dış cephesi kısmen Ankara taşı kaplama, kısmen sıva üzeri dış cephe boyası ile boyanmıştır. Bahçesinin etrafı panel tel çit ile çevrili kemerli demir, bahçe kapılı, bahçesinin beton karo taş yürüme yolu ve kısmen beton çim taşı ile kaplıdır. Pencereleri PVC doğrama ve ısı camlıdır, Zemin katta depo + </w:t>
      </w:r>
      <w:proofErr w:type="gramStart"/>
      <w:r>
        <w:t>antre</w:t>
      </w:r>
      <w:proofErr w:type="gramEnd"/>
      <w:r>
        <w:t>+kütüphane odası +</w:t>
      </w:r>
      <w:proofErr w:type="spellStart"/>
      <w:r>
        <w:t>ka</w:t>
      </w:r>
      <w:proofErr w:type="spellEnd"/>
      <w:r>
        <w:t>- zan dairesi+ salondan oluşmaktadır. Antre duvarları cam tuğla dekorlu bütün zeminleri seramik, duvarları alcı sıva üzeri saten boya, kapıla</w:t>
      </w:r>
      <w:r>
        <w:softHyphen/>
        <w:t>rı ahşaptır. Birinci katta salın+mutfak+balkonlu çalışma odası+WC mevcuttur. Bütün zeminler seramik duvarları alcı sıva üzeri saten boya</w:t>
      </w:r>
      <w:r>
        <w:softHyphen/>
        <w:t xml:space="preserve">lı, kapıları ahşaptır. Mutfak granit mermer </w:t>
      </w:r>
      <w:proofErr w:type="gramStart"/>
      <w:r>
        <w:t>tezgahlı</w:t>
      </w:r>
      <w:proofErr w:type="gramEnd"/>
      <w:r>
        <w:t xml:space="preserve"> Hilton lavabolu 1. sınıf dolaplıdır. WC </w:t>
      </w:r>
      <w:proofErr w:type="spellStart"/>
      <w:r>
        <w:t>nin</w:t>
      </w:r>
      <w:proofErr w:type="spellEnd"/>
      <w:r>
        <w:t xml:space="preserve"> etajerli dolaplı ve Hilton </w:t>
      </w:r>
      <w:proofErr w:type="spellStart"/>
      <w:r>
        <w:t>lavabolıdır</w:t>
      </w:r>
      <w:proofErr w:type="spellEnd"/>
      <w:r>
        <w:t>. 2. katta teras + banyolu ebeveyn ve çocuk yatak odası vardır. Bütün zeminler seramik duvarları alcı sıva üzeri saten boyalı, kapıları ahşaptır. An</w:t>
      </w:r>
      <w:r>
        <w:softHyphen/>
        <w:t xml:space="preserve">trede </w:t>
      </w:r>
      <w:proofErr w:type="spellStart"/>
      <w:r>
        <w:t>laminat</w:t>
      </w:r>
      <w:proofErr w:type="spellEnd"/>
      <w:r>
        <w:t xml:space="preserve"> kaplama dolap, teras demir korkuluklu, zemini kaymaz seramik, çatısı ahşap lambridir. Katlar arası merdivenler mermer kap</w:t>
      </w:r>
      <w:r>
        <w:softHyphen/>
        <w:t xml:space="preserve">lama ferforje korkulukludur. Çatı katında ahşap lambri kaplama 1 oda vardır. Taşınmazın bulunduğu site 24 saat güvenlikli, otopark sorunu olmayan, Sitenin </w:t>
      </w:r>
      <w:proofErr w:type="spellStart"/>
      <w:r>
        <w:t>İncek</w:t>
      </w:r>
      <w:proofErr w:type="spellEnd"/>
      <w:r>
        <w:t xml:space="preserve"> yoluna cepheli olması sebebiyle ulaşım kolaylığı olduğu</w:t>
      </w:r>
      <w:proofErr w:type="gramStart"/>
      <w:r>
        <w:t>,.</w:t>
      </w:r>
      <w:proofErr w:type="gramEnd"/>
      <w:r>
        <w:t xml:space="preserve"> Sitenin çevre düzenlemesinin yapılı olduğu görümlüktedir.</w:t>
      </w:r>
    </w:p>
    <w:p w:rsidR="0072517A" w:rsidRDefault="00A85F44">
      <w:pPr>
        <w:pStyle w:val="Gvdemetni0"/>
        <w:numPr>
          <w:ilvl w:val="0"/>
          <w:numId w:val="1"/>
        </w:numPr>
        <w:shd w:val="clear" w:color="auto" w:fill="auto"/>
        <w:tabs>
          <w:tab w:val="left" w:pos="1086"/>
        </w:tabs>
        <w:ind w:left="860" w:right="320"/>
      </w:pPr>
      <w:r>
        <w:t xml:space="preserve">Satış </w:t>
      </w:r>
      <w:proofErr w:type="gramStart"/>
      <w:r>
        <w:t>22/08/2012</w:t>
      </w:r>
      <w:proofErr w:type="gramEnd"/>
      <w:r>
        <w:t xml:space="preserve"> günü saat 11.00'den 11.05'e kadar Ankara/Gölbaşı Adliyesi İcra Müdürlüğü önünde yapılacaktır. Bu artırmada tahmin edilen kıymetin % 60'ını rüçhanlı alacaklılar varsa, alacakları toplamını ve satış masraflarını geçmek kaydı ile ihale olunur. Böyle bir bedel</w:t>
      </w:r>
      <w:r>
        <w:softHyphen/>
        <w:t xml:space="preserve">le alıcı çıkmazsa en çok artıranın taahhüdü baki kalmak kaydı ile </w:t>
      </w:r>
      <w:proofErr w:type="gramStart"/>
      <w:r>
        <w:t>03/09/2012</w:t>
      </w:r>
      <w:proofErr w:type="gramEnd"/>
      <w:r>
        <w:t xml:space="preserve"> günü aynı yer ve saatte 2.artırmaya çıkarılacaktır. Bu artırma</w:t>
      </w:r>
      <w:r>
        <w:softHyphen/>
        <w:t>da da bu miktar elde edilmemişse taşınmaz en çok artıranın taahhüdü saklı kalmak üzere artırma ilanında belirtilen süre sonunda en çok ar</w:t>
      </w:r>
      <w:r>
        <w:softHyphen/>
        <w:t>tırana ihale edilecektir. Şu kadarki, artırma bedelinin malın tahmin edilen kıymetinin % 40'ını bulması ve satış isteyenin alacağına rüçhanı olan alacakların toplamından fazla olması ve bundan başka, paraya çevrilme ve paylaştırma masraflarını geçmesi lazımdır. Böyle fazla be</w:t>
      </w:r>
      <w:r>
        <w:softHyphen/>
        <w:t>delle alıcı çıkmazsa satış talebi düşecektir.</w:t>
      </w:r>
    </w:p>
    <w:p w:rsidR="0072517A" w:rsidRDefault="00A85F44">
      <w:pPr>
        <w:pStyle w:val="Gvdemetni0"/>
        <w:numPr>
          <w:ilvl w:val="0"/>
          <w:numId w:val="1"/>
        </w:numPr>
        <w:shd w:val="clear" w:color="auto" w:fill="auto"/>
        <w:tabs>
          <w:tab w:val="left" w:pos="1071"/>
        </w:tabs>
        <w:ind w:left="860" w:right="320"/>
      </w:pPr>
      <w:r>
        <w:t>Artırmaya iştirak edeceklerin, tahmin edilen kıymetin % 20'si oranında nakit ya da bu miktar kadar milli bankalardan birinin teminat mek</w:t>
      </w:r>
      <w:r>
        <w:softHyphen/>
        <w:t>tubunu vermeleri lazımdır. Satış peşin para ile olup alıcının isteği ve satış memurunun uygun görmesi halinde 10 (on) günü geçmemek kay</w:t>
      </w:r>
      <w:r>
        <w:softHyphen/>
        <w:t xml:space="preserve">dı ile uygun bir süre verilebilir. Resmi, ihale pulu, 1/2 tapu harç ve masrafları, % (18) KDV, Teslim masrafları alıcıya aittir. </w:t>
      </w:r>
      <w:proofErr w:type="gramStart"/>
      <w:r>
        <w:t>Tellaliye</w:t>
      </w:r>
      <w:proofErr w:type="gramEnd"/>
      <w:r>
        <w:t xml:space="preserve"> Birikmiş vergiler satış bedelinden ödenir.</w:t>
      </w:r>
    </w:p>
    <w:p w:rsidR="0072517A" w:rsidRDefault="00A85F44">
      <w:pPr>
        <w:pStyle w:val="Gvdemetni0"/>
        <w:numPr>
          <w:ilvl w:val="0"/>
          <w:numId w:val="1"/>
        </w:numPr>
        <w:shd w:val="clear" w:color="auto" w:fill="auto"/>
        <w:tabs>
          <w:tab w:val="left" w:pos="1081"/>
        </w:tabs>
        <w:ind w:left="860" w:right="320"/>
      </w:pPr>
      <w:r>
        <w:t>İpotek sahibi alacaklılarla diğer ilgililerin (*) bu taşınmaz üzerindeki haklarını hususiyle faiz ve masrafa dair olan iddialarını dayanağı bel</w:t>
      </w:r>
      <w:r>
        <w:softHyphen/>
        <w:t xml:space="preserve">geler ile </w:t>
      </w:r>
      <w:proofErr w:type="spellStart"/>
      <w:r>
        <w:t>onbeş</w:t>
      </w:r>
      <w:proofErr w:type="spellEnd"/>
      <w:r>
        <w:t xml:space="preserve"> gün içinde dairemize bildirmeleri lazımdır. Aksi takdirde hakları tapu sicili ile sabit olmadıkça paylaşmadan hariç bırakıla</w:t>
      </w:r>
      <w:r>
        <w:softHyphen/>
        <w:t>caklardır.</w:t>
      </w:r>
    </w:p>
    <w:p w:rsidR="0072517A" w:rsidRDefault="00A85F44">
      <w:pPr>
        <w:pStyle w:val="Gvdemetni0"/>
        <w:numPr>
          <w:ilvl w:val="0"/>
          <w:numId w:val="1"/>
        </w:numPr>
        <w:shd w:val="clear" w:color="auto" w:fill="auto"/>
        <w:tabs>
          <w:tab w:val="left" w:pos="1090"/>
        </w:tabs>
        <w:ind w:left="860" w:right="320"/>
      </w:pPr>
      <w:r>
        <w:t xml:space="preserve">İhaleye katılıp daha sonra ihale bedelini yatırmamak suretiyle ihalenin feshine sebep olan tüm alıcılar ve kefilleri teklif ettikleri bedel ile son ihale bedeli arasındaki farktan ve diğer zararlardan ve ayrıca temerrüt faizimden </w:t>
      </w:r>
      <w:proofErr w:type="spellStart"/>
      <w:r>
        <w:t>müteselsilen</w:t>
      </w:r>
      <w:proofErr w:type="spellEnd"/>
      <w:r>
        <w:t xml:space="preserve"> mesul olacaklardır. İhale farkı ve temerrüt faizi ayrıca hükme hacet kalmaksızın Dairemizce tahsil olunacak, bu fark varsa öncelikle teminat bedelinden alınacaktır.</w:t>
      </w:r>
    </w:p>
    <w:p w:rsidR="0072517A" w:rsidRDefault="00A85F44">
      <w:pPr>
        <w:pStyle w:val="Gvdemetni0"/>
        <w:numPr>
          <w:ilvl w:val="0"/>
          <w:numId w:val="1"/>
        </w:numPr>
        <w:shd w:val="clear" w:color="auto" w:fill="auto"/>
        <w:tabs>
          <w:tab w:val="left" w:pos="1071"/>
        </w:tabs>
        <w:ind w:left="860" w:right="320"/>
      </w:pPr>
      <w:r>
        <w:t>Şartname, ilan tarihinden itibaren herkesin görebilmesi için dairede açık olup masrafı verildiği takdirde isteyen alıcıya bir örneği gönderi</w:t>
      </w:r>
      <w:r>
        <w:softHyphen/>
        <w:t>lebilir.</w:t>
      </w:r>
    </w:p>
    <w:p w:rsidR="0072517A" w:rsidRDefault="00A85F44">
      <w:pPr>
        <w:pStyle w:val="Gvdemetni0"/>
        <w:numPr>
          <w:ilvl w:val="0"/>
          <w:numId w:val="1"/>
        </w:numPr>
        <w:shd w:val="clear" w:color="auto" w:fill="auto"/>
        <w:tabs>
          <w:tab w:val="left" w:pos="1066"/>
        </w:tabs>
        <w:ind w:left="860" w:right="320"/>
      </w:pPr>
      <w:r>
        <w:t xml:space="preserve">Satışa iştirak edenlerin şartnameyi görmüş ve içeriğini kabul etmiş sayılacakları, .başkaca bilgi almak isteyenlerin 2009/1416Tal. </w:t>
      </w:r>
      <w:proofErr w:type="gramStart"/>
      <w:r>
        <w:t>sayılı</w:t>
      </w:r>
      <w:proofErr w:type="gramEnd"/>
      <w:r>
        <w:t xml:space="preserve"> dos</w:t>
      </w:r>
      <w:r>
        <w:softHyphen/>
        <w:t>ya numarası ile Müdürlüğümüze başvurmaları ilan olunur</w:t>
      </w:r>
    </w:p>
    <w:p w:rsidR="0072517A" w:rsidRDefault="00A85F44">
      <w:pPr>
        <w:pStyle w:val="Gvdemetni0"/>
        <w:shd w:val="clear" w:color="auto" w:fill="auto"/>
        <w:ind w:left="860"/>
      </w:pPr>
      <w:proofErr w:type="gramStart"/>
      <w:r>
        <w:t>(</w:t>
      </w:r>
      <w:proofErr w:type="gramEnd"/>
      <w:r>
        <w:t xml:space="preserve">İİK. 126) (*) İlgililer tabirine irtifak hakkı sahipleri de </w:t>
      </w:r>
      <w:proofErr w:type="gramStart"/>
      <w:r>
        <w:t>dahildir</w:t>
      </w:r>
      <w:proofErr w:type="gramEnd"/>
      <w:r>
        <w:t>. Yönetmelik Örnek No. 27</w:t>
      </w:r>
    </w:p>
    <w:p w:rsidR="0072517A" w:rsidRDefault="00370301">
      <w:pPr>
        <w:pStyle w:val="Gvdemetni20"/>
        <w:shd w:val="clear" w:color="auto" w:fill="auto"/>
        <w:spacing w:after="150" w:line="150" w:lineRule="exact"/>
      </w:pPr>
      <w:r w:rsidRPr="00370301">
        <w:pict>
          <v:shapetype id="_x0000_t202" coordsize="21600,21600" o:spt="202" path="m,l,21600r21600,l21600,xe">
            <v:stroke joinstyle="miter"/>
            <v:path gradientshapeok="t" o:connecttype="rect"/>
          </v:shapetype>
          <v:shape id="_x0000_s1026" type="#_x0000_t202" style="position:absolute;left:0;text-align:left;margin-left:29.9pt;margin-top:4.1pt;width:7.75pt;height:10.4pt;z-index:-251658752;mso-wrap-distance-left:5pt;mso-wrap-distance-right:5.05pt;mso-position-horizontal-relative:margin" filled="f" stroked="f">
            <v:textbox style="mso-fit-shape-to-text:t" inset="0,0,0,0">
              <w:txbxContent>
                <w:p w:rsidR="0072517A" w:rsidRDefault="00A85F44">
                  <w:pPr>
                    <w:pStyle w:val="Gvdemetni4"/>
                    <w:shd w:val="clear" w:color="auto" w:fill="auto"/>
                    <w:spacing w:line="200" w:lineRule="exact"/>
                    <w:ind w:left="100"/>
                  </w:pPr>
                  <w:r>
                    <w:t>L</w:t>
                  </w:r>
                </w:p>
              </w:txbxContent>
            </v:textbox>
            <w10:wrap type="square" anchorx="margin"/>
          </v:shape>
        </w:pict>
      </w:r>
      <w:r w:rsidR="00A85F44">
        <w:rPr>
          <w:lang w:val="tr-TR"/>
        </w:rPr>
        <w:t xml:space="preserve">Basın: 42695 </w:t>
      </w:r>
      <w:hyperlink r:id="rId7" w:history="1">
        <w:r w:rsidR="00A85F44">
          <w:rPr>
            <w:rStyle w:val="Kpr"/>
          </w:rPr>
          <w:t>www.bik.gov.tr</w:t>
        </w:r>
      </w:hyperlink>
    </w:p>
    <w:p w:rsidR="0072517A" w:rsidRDefault="0072517A">
      <w:pPr>
        <w:rPr>
          <w:sz w:val="2"/>
          <w:szCs w:val="2"/>
        </w:rPr>
      </w:pPr>
    </w:p>
    <w:p w:rsidR="0072517A" w:rsidRDefault="0072517A">
      <w:pPr>
        <w:rPr>
          <w:sz w:val="2"/>
          <w:szCs w:val="2"/>
        </w:rPr>
      </w:pPr>
    </w:p>
    <w:sectPr w:rsidR="0072517A" w:rsidSect="0072517A">
      <w:type w:val="continuous"/>
      <w:pgSz w:w="16838" w:h="16834" w:orient="landscape"/>
      <w:pgMar w:top="2697" w:right="2323" w:bottom="2639" w:left="232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AA4" w:rsidRDefault="001E2AA4" w:rsidP="0072517A">
      <w:r>
        <w:separator/>
      </w:r>
    </w:p>
  </w:endnote>
  <w:endnote w:type="continuationSeparator" w:id="0">
    <w:p w:rsidR="001E2AA4" w:rsidRDefault="001E2AA4" w:rsidP="0072517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Impact">
    <w:panose1 w:val="020B080603090205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AA4" w:rsidRDefault="001E2AA4"/>
  </w:footnote>
  <w:footnote w:type="continuationSeparator" w:id="0">
    <w:p w:rsidR="001E2AA4" w:rsidRDefault="001E2AA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2D90"/>
    <w:multiLevelType w:val="multilevel"/>
    <w:tmpl w:val="44303BC4"/>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72517A"/>
    <w:rsid w:val="001E2AA4"/>
    <w:rsid w:val="00370301"/>
    <w:rsid w:val="0072517A"/>
    <w:rsid w:val="00A85F44"/>
    <w:rsid w:val="00EE18D0"/>
    <w:rsid w:val="00FA03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517A"/>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72517A"/>
    <w:rPr>
      <w:color w:val="000080"/>
      <w:u w:val="single"/>
    </w:rPr>
  </w:style>
  <w:style w:type="character" w:customStyle="1" w:styleId="Gvdemetni4Exact">
    <w:name w:val="Gövde metni (4) Exact"/>
    <w:basedOn w:val="VarsaylanParagrafYazTipi"/>
    <w:link w:val="Gvdemetni4"/>
    <w:rsid w:val="0072517A"/>
    <w:rPr>
      <w:rFonts w:ascii="Impact" w:eastAsia="Impact" w:hAnsi="Impact" w:cs="Impact"/>
      <w:b w:val="0"/>
      <w:bCs w:val="0"/>
      <w:i w:val="0"/>
      <w:iCs w:val="0"/>
      <w:smallCaps w:val="0"/>
      <w:strike w:val="0"/>
      <w:sz w:val="20"/>
      <w:szCs w:val="20"/>
      <w:u w:val="none"/>
    </w:rPr>
  </w:style>
  <w:style w:type="character" w:customStyle="1" w:styleId="Balk1">
    <w:name w:val="Başlık #1_"/>
    <w:basedOn w:val="VarsaylanParagrafYazTipi"/>
    <w:link w:val="Balk10"/>
    <w:rsid w:val="0072517A"/>
    <w:rPr>
      <w:rFonts w:ascii="Arial" w:eastAsia="Arial" w:hAnsi="Arial" w:cs="Arial"/>
      <w:b/>
      <w:bCs/>
      <w:i w:val="0"/>
      <w:iCs w:val="0"/>
      <w:smallCaps w:val="0"/>
      <w:strike w:val="0"/>
      <w:sz w:val="27"/>
      <w:szCs w:val="27"/>
      <w:u w:val="none"/>
    </w:rPr>
  </w:style>
  <w:style w:type="character" w:customStyle="1" w:styleId="Balk11">
    <w:name w:val="Başlık #1"/>
    <w:basedOn w:val="Balk1"/>
    <w:rsid w:val="0072517A"/>
    <w:rPr>
      <w:color w:val="FFFFFF"/>
      <w:spacing w:val="0"/>
      <w:w w:val="100"/>
      <w:position w:val="0"/>
      <w:lang w:val="tr-TR"/>
    </w:rPr>
  </w:style>
  <w:style w:type="character" w:customStyle="1" w:styleId="Tabloyazs">
    <w:name w:val="Tablo yazısı_"/>
    <w:basedOn w:val="VarsaylanParagrafYazTipi"/>
    <w:link w:val="Tabloyazs0"/>
    <w:rsid w:val="0072517A"/>
    <w:rPr>
      <w:rFonts w:ascii="Arial" w:eastAsia="Arial" w:hAnsi="Arial" w:cs="Arial"/>
      <w:b/>
      <w:bCs/>
      <w:i w:val="0"/>
      <w:iCs w:val="0"/>
      <w:smallCaps w:val="0"/>
      <w:strike w:val="0"/>
      <w:sz w:val="15"/>
      <w:szCs w:val="15"/>
      <w:u w:val="none"/>
    </w:rPr>
  </w:style>
  <w:style w:type="character" w:customStyle="1" w:styleId="Gvdemetni">
    <w:name w:val="Gövde metni_"/>
    <w:basedOn w:val="VarsaylanParagrafYazTipi"/>
    <w:link w:val="Gvdemetni0"/>
    <w:rsid w:val="0072517A"/>
    <w:rPr>
      <w:rFonts w:ascii="Arial" w:eastAsia="Arial" w:hAnsi="Arial" w:cs="Arial"/>
      <w:b w:val="0"/>
      <w:bCs w:val="0"/>
      <w:i w:val="0"/>
      <w:iCs w:val="0"/>
      <w:smallCaps w:val="0"/>
      <w:strike w:val="0"/>
      <w:sz w:val="17"/>
      <w:szCs w:val="17"/>
      <w:u w:val="none"/>
    </w:rPr>
  </w:style>
  <w:style w:type="character" w:customStyle="1" w:styleId="Gvdemetni75ptKaln">
    <w:name w:val="Gövde metni + 7;5 pt;Kalın"/>
    <w:basedOn w:val="Gvdemetni"/>
    <w:rsid w:val="0072517A"/>
    <w:rPr>
      <w:b/>
      <w:bCs/>
      <w:color w:val="000000"/>
      <w:spacing w:val="0"/>
      <w:w w:val="100"/>
      <w:position w:val="0"/>
      <w:sz w:val="15"/>
      <w:szCs w:val="15"/>
      <w:lang w:val="tr-TR"/>
    </w:rPr>
  </w:style>
  <w:style w:type="character" w:customStyle="1" w:styleId="Gvdemetni75pt">
    <w:name w:val="Gövde metni + 7;5 pt"/>
    <w:basedOn w:val="Gvdemetni"/>
    <w:rsid w:val="0072517A"/>
    <w:rPr>
      <w:color w:val="000000"/>
      <w:spacing w:val="0"/>
      <w:w w:val="100"/>
      <w:position w:val="0"/>
      <w:sz w:val="15"/>
      <w:szCs w:val="15"/>
      <w:lang w:val="tr-TR"/>
    </w:rPr>
  </w:style>
  <w:style w:type="character" w:customStyle="1" w:styleId="Gvdemetni2">
    <w:name w:val="Gövde metni (2)_"/>
    <w:basedOn w:val="VarsaylanParagrafYazTipi"/>
    <w:link w:val="Gvdemetni20"/>
    <w:rsid w:val="0072517A"/>
    <w:rPr>
      <w:rFonts w:ascii="Arial" w:eastAsia="Arial" w:hAnsi="Arial" w:cs="Arial"/>
      <w:b/>
      <w:bCs/>
      <w:i w:val="0"/>
      <w:iCs w:val="0"/>
      <w:smallCaps w:val="0"/>
      <w:strike w:val="0"/>
      <w:sz w:val="15"/>
      <w:szCs w:val="15"/>
      <w:u w:val="none"/>
      <w:lang w:val="en-US"/>
    </w:rPr>
  </w:style>
  <w:style w:type="character" w:customStyle="1" w:styleId="Gvdemetni3">
    <w:name w:val="Gövde metni (3)_"/>
    <w:basedOn w:val="VarsaylanParagrafYazTipi"/>
    <w:link w:val="Gvdemetni30"/>
    <w:rsid w:val="0072517A"/>
    <w:rPr>
      <w:rFonts w:ascii="Arial" w:eastAsia="Arial" w:hAnsi="Arial" w:cs="Arial"/>
      <w:b/>
      <w:bCs/>
      <w:i w:val="0"/>
      <w:iCs w:val="0"/>
      <w:smallCaps w:val="0"/>
      <w:strike w:val="0"/>
      <w:sz w:val="18"/>
      <w:szCs w:val="18"/>
      <w:u w:val="none"/>
    </w:rPr>
  </w:style>
  <w:style w:type="character" w:customStyle="1" w:styleId="Gvdemetni31">
    <w:name w:val="Gövde metni (3)"/>
    <w:basedOn w:val="Gvdemetni3"/>
    <w:rsid w:val="0072517A"/>
    <w:rPr>
      <w:color w:val="FFFFFF"/>
      <w:spacing w:val="0"/>
      <w:w w:val="100"/>
      <w:position w:val="0"/>
      <w:lang w:val="tr-TR"/>
    </w:rPr>
  </w:style>
  <w:style w:type="paragraph" w:customStyle="1" w:styleId="Gvdemetni4">
    <w:name w:val="Gövde metni (4)"/>
    <w:basedOn w:val="Normal"/>
    <w:link w:val="Gvdemetni4Exact"/>
    <w:rsid w:val="0072517A"/>
    <w:pPr>
      <w:shd w:val="clear" w:color="auto" w:fill="FFFFFF"/>
      <w:spacing w:line="0" w:lineRule="atLeast"/>
    </w:pPr>
    <w:rPr>
      <w:rFonts w:ascii="Impact" w:eastAsia="Impact" w:hAnsi="Impact" w:cs="Impact"/>
      <w:sz w:val="20"/>
      <w:szCs w:val="20"/>
    </w:rPr>
  </w:style>
  <w:style w:type="paragraph" w:customStyle="1" w:styleId="Balk10">
    <w:name w:val="Başlık #1"/>
    <w:basedOn w:val="Normal"/>
    <w:link w:val="Balk1"/>
    <w:rsid w:val="0072517A"/>
    <w:pPr>
      <w:shd w:val="clear" w:color="auto" w:fill="FFFFFF"/>
      <w:spacing w:after="180" w:line="0" w:lineRule="atLeast"/>
      <w:jc w:val="center"/>
      <w:outlineLvl w:val="0"/>
    </w:pPr>
    <w:rPr>
      <w:rFonts w:ascii="Arial" w:eastAsia="Arial" w:hAnsi="Arial" w:cs="Arial"/>
      <w:b/>
      <w:bCs/>
      <w:sz w:val="27"/>
      <w:szCs w:val="27"/>
    </w:rPr>
  </w:style>
  <w:style w:type="paragraph" w:customStyle="1" w:styleId="Tabloyazs0">
    <w:name w:val="Tablo yazısı"/>
    <w:basedOn w:val="Normal"/>
    <w:link w:val="Tabloyazs"/>
    <w:rsid w:val="0072517A"/>
    <w:pPr>
      <w:shd w:val="clear" w:color="auto" w:fill="FFFFFF"/>
      <w:spacing w:line="0" w:lineRule="atLeast"/>
    </w:pPr>
    <w:rPr>
      <w:rFonts w:ascii="Arial" w:eastAsia="Arial" w:hAnsi="Arial" w:cs="Arial"/>
      <w:b/>
      <w:bCs/>
      <w:sz w:val="15"/>
      <w:szCs w:val="15"/>
    </w:rPr>
  </w:style>
  <w:style w:type="paragraph" w:customStyle="1" w:styleId="Gvdemetni0">
    <w:name w:val="Gövde metni"/>
    <w:basedOn w:val="Normal"/>
    <w:link w:val="Gvdemetni"/>
    <w:rsid w:val="0072517A"/>
    <w:pPr>
      <w:shd w:val="clear" w:color="auto" w:fill="FFFFFF"/>
      <w:spacing w:line="211" w:lineRule="exact"/>
      <w:jc w:val="both"/>
    </w:pPr>
    <w:rPr>
      <w:rFonts w:ascii="Arial" w:eastAsia="Arial" w:hAnsi="Arial" w:cs="Arial"/>
      <w:sz w:val="17"/>
      <w:szCs w:val="17"/>
    </w:rPr>
  </w:style>
  <w:style w:type="paragraph" w:customStyle="1" w:styleId="Gvdemetni20">
    <w:name w:val="Gövde metni (2)"/>
    <w:basedOn w:val="Normal"/>
    <w:link w:val="Gvdemetni2"/>
    <w:rsid w:val="0072517A"/>
    <w:pPr>
      <w:shd w:val="clear" w:color="auto" w:fill="FFFFFF"/>
      <w:spacing w:after="180" w:line="0" w:lineRule="atLeast"/>
      <w:jc w:val="right"/>
    </w:pPr>
    <w:rPr>
      <w:rFonts w:ascii="Arial" w:eastAsia="Arial" w:hAnsi="Arial" w:cs="Arial"/>
      <w:b/>
      <w:bCs/>
      <w:sz w:val="15"/>
      <w:szCs w:val="15"/>
      <w:lang w:val="en-US"/>
    </w:rPr>
  </w:style>
  <w:style w:type="paragraph" w:customStyle="1" w:styleId="Gvdemetni30">
    <w:name w:val="Gövde metni (3)"/>
    <w:basedOn w:val="Normal"/>
    <w:link w:val="Gvdemetni3"/>
    <w:rsid w:val="0072517A"/>
    <w:pPr>
      <w:shd w:val="clear" w:color="auto" w:fill="FFFFFF"/>
      <w:spacing w:before="180" w:after="780" w:line="0" w:lineRule="atLeast"/>
      <w:jc w:val="center"/>
    </w:pPr>
    <w:rPr>
      <w:rFonts w:ascii="Arial" w:eastAsia="Arial" w:hAnsi="Arial" w:cs="Arial"/>
      <w:b/>
      <w:bCs/>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674</Words>
  <Characters>3846</Characters>
  <Application>Microsoft Office Word</Application>
  <DocSecurity>0</DocSecurity>
  <Lines>32</Lines>
  <Paragraphs>9</Paragraphs>
  <ScaleCrop>false</ScaleCrop>
  <Company/>
  <LinksUpToDate>false</LinksUpToDate>
  <CharactersWithSpaces>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2012-07-07T12:48:00Z</dcterms:created>
  <dcterms:modified xsi:type="dcterms:W3CDTF">2012-07-07T12:48:00Z</dcterms:modified>
</cp:coreProperties>
</file>