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7" w:rsidRPr="001E5D05" w:rsidRDefault="00C37EA3" w:rsidP="00F57AA4">
      <w:pPr>
        <w:jc w:val="center"/>
        <w:rPr>
          <w:rStyle w:val="apple-style-span"/>
          <w:rFonts w:ascii="Calibri" w:eastAsia="Times New Roman" w:hAnsi="Calibri" w:cs="Calibri"/>
          <w:u w:val="single"/>
        </w:rPr>
      </w:pPr>
      <w:r w:rsidRPr="001E5D05">
        <w:rPr>
          <w:rStyle w:val="apple-style-span"/>
          <w:rFonts w:ascii="Calibri" w:eastAsia="Times New Roman" w:hAnsi="Calibri" w:cs="Calibri"/>
          <w:b/>
          <w:bCs/>
        </w:rPr>
        <w:t>Türkiye Değerleme Uzmanları Birliği Üyelerinin Müşterilerine Verdikleri Hizmetler Karşılığında Tahsil Edecekleri Ücret ve Masrafların Tutar ve Sınırlarına İlişkin Esaslar</w:t>
      </w:r>
      <w:r w:rsidRPr="001E5D05">
        <w:rPr>
          <w:rFonts w:ascii="Calibri" w:eastAsia="Times New Roman" w:hAnsi="Calibri" w:cs="Calibri"/>
        </w:rPr>
        <w:br/>
      </w:r>
      <w:r w:rsidRPr="001E5D05">
        <w:rPr>
          <w:rStyle w:val="apple-style-span"/>
          <w:rFonts w:ascii="Calibri" w:eastAsia="Times New Roman" w:hAnsi="Calibri" w:cs="Calibri"/>
        </w:rPr>
        <w:t> </w:t>
      </w:r>
      <w:r w:rsidRPr="001E5D05">
        <w:rPr>
          <w:rFonts w:ascii="Calibri" w:eastAsia="Times New Roman" w:hAnsi="Calibri" w:cs="Calibri"/>
        </w:rPr>
        <w:br/>
      </w:r>
    </w:p>
    <w:p w:rsidR="00083C7F" w:rsidRPr="001E5D05" w:rsidRDefault="00C37EA3" w:rsidP="00087683">
      <w:pPr>
        <w:jc w:val="both"/>
        <w:rPr>
          <w:rStyle w:val="apple-style-span"/>
          <w:rFonts w:ascii="Calibri" w:eastAsia="Times New Roman" w:hAnsi="Calibri" w:cs="Calibri"/>
        </w:rPr>
      </w:pPr>
      <w:r w:rsidRPr="001E5D05">
        <w:rPr>
          <w:rStyle w:val="apple-style-span"/>
          <w:rFonts w:ascii="Calibri" w:eastAsia="Times New Roman" w:hAnsi="Calibri" w:cs="Calibri"/>
          <w:b/>
        </w:rPr>
        <w:t>Madde 1</w:t>
      </w:r>
      <w:proofErr w:type="gramStart"/>
      <w:r w:rsidRPr="001E5D05">
        <w:rPr>
          <w:rStyle w:val="apple-style-span"/>
          <w:rFonts w:ascii="Calibri" w:eastAsia="Times New Roman" w:hAnsi="Calibri" w:cs="Calibri"/>
          <w:b/>
        </w:rPr>
        <w:t>)</w:t>
      </w:r>
      <w:proofErr w:type="gramEnd"/>
      <w:r w:rsidRPr="001E5D05">
        <w:rPr>
          <w:rStyle w:val="apple-style-span"/>
          <w:rFonts w:ascii="Calibri" w:eastAsia="Times New Roman" w:hAnsi="Calibri" w:cs="Calibri"/>
        </w:rPr>
        <w:t> Sermaye Piyasası Kanunu’nun 40/D maddesi ve Türkiye Değerleme Uzmanları Birliği</w:t>
      </w:r>
      <w:r w:rsidR="00E1028B" w:rsidRPr="001E5D05">
        <w:rPr>
          <w:rStyle w:val="apple-style-span"/>
          <w:rFonts w:ascii="Calibri" w:eastAsia="Times New Roman" w:hAnsi="Calibri" w:cs="Calibri"/>
        </w:rPr>
        <w:t xml:space="preserve"> Statüsü’nün 7’nci </w:t>
      </w:r>
      <w:r w:rsidRPr="001E5D05">
        <w:rPr>
          <w:rStyle w:val="apple-style-span"/>
          <w:rFonts w:ascii="Calibri" w:eastAsia="Times New Roman" w:hAnsi="Calibri" w:cs="Calibri"/>
        </w:rPr>
        <w:t>maddesinin (ı) bendi ile Birliğimize verilen yetki</w:t>
      </w:r>
      <w:r w:rsidR="00087683" w:rsidRPr="001E5D05">
        <w:rPr>
          <w:rStyle w:val="apple-style-span"/>
          <w:rFonts w:ascii="Calibri" w:eastAsia="Times New Roman" w:hAnsi="Calibri" w:cs="Calibri"/>
        </w:rPr>
        <w:t xml:space="preserve"> uyarınca ve aynı maddenin (b), (c), (ç) bentleri ile yüklenen sorumluluk doğrultusunda</w:t>
      </w:r>
      <w:r w:rsidRPr="001E5D05">
        <w:rPr>
          <w:rStyle w:val="apple-style-span"/>
          <w:rFonts w:ascii="Calibri" w:eastAsia="Times New Roman" w:hAnsi="Calibri" w:cs="Calibri"/>
        </w:rPr>
        <w:t>, üyelerimizin</w:t>
      </w:r>
      <w:r w:rsidR="00380C47" w:rsidRPr="001E5D05">
        <w:rPr>
          <w:rStyle w:val="apple-style-span"/>
          <w:rFonts w:ascii="Calibri" w:eastAsia="Times New Roman" w:hAnsi="Calibri" w:cs="Calibri"/>
        </w:rPr>
        <w:t xml:space="preserve"> </w:t>
      </w:r>
      <w:r w:rsidRPr="001E5D05">
        <w:rPr>
          <w:rStyle w:val="apple-style-span"/>
          <w:rFonts w:ascii="Calibri" w:eastAsia="Times New Roman" w:hAnsi="Calibri" w:cs="Calibri"/>
        </w:rPr>
        <w:t xml:space="preserve">müşterilerine verdikleri hizmetler karşılığında tahsil edecekleri ücret ve masrafların tutarlarına ve </w:t>
      </w:r>
      <w:r w:rsidR="00087683" w:rsidRPr="001E5D05">
        <w:rPr>
          <w:rStyle w:val="apple-style-span"/>
          <w:rFonts w:ascii="Calibri" w:eastAsia="Times New Roman" w:hAnsi="Calibri" w:cs="Calibri"/>
        </w:rPr>
        <w:t xml:space="preserve">alt </w:t>
      </w:r>
      <w:r w:rsidRPr="001E5D05">
        <w:rPr>
          <w:rStyle w:val="apple-style-span"/>
          <w:rFonts w:ascii="Calibri" w:eastAsia="Times New Roman" w:hAnsi="Calibri" w:cs="Calibri"/>
        </w:rPr>
        <w:t>sınırlarına ilişkin işbu esaslar belirlenmiştir.</w:t>
      </w:r>
      <w:r w:rsidR="00083C7F" w:rsidRPr="001E5D05">
        <w:rPr>
          <w:rStyle w:val="apple-style-span"/>
          <w:rFonts w:ascii="Calibri" w:eastAsia="Times New Roman" w:hAnsi="Calibri" w:cs="Calibri"/>
        </w:rPr>
        <w:t xml:space="preserve"> </w:t>
      </w:r>
    </w:p>
    <w:p w:rsidR="00083C7F" w:rsidRPr="001E5D05" w:rsidRDefault="00083C7F" w:rsidP="00087683">
      <w:pPr>
        <w:jc w:val="both"/>
        <w:rPr>
          <w:rStyle w:val="apple-style-span"/>
          <w:rFonts w:ascii="Calibri" w:eastAsia="Times New Roman" w:hAnsi="Calibri" w:cs="Calibri"/>
        </w:rPr>
      </w:pPr>
    </w:p>
    <w:p w:rsidR="00083C7F" w:rsidRPr="001E5D05" w:rsidRDefault="00083C7F" w:rsidP="00087683">
      <w:pPr>
        <w:jc w:val="both"/>
        <w:rPr>
          <w:rStyle w:val="apple-style-span"/>
          <w:rFonts w:ascii="Calibri" w:eastAsia="Times New Roman" w:hAnsi="Calibri" w:cs="Calibri"/>
        </w:rPr>
      </w:pPr>
      <w:r w:rsidRPr="001E5D05">
        <w:rPr>
          <w:rStyle w:val="apple-style-span"/>
          <w:rFonts w:ascii="Calibri" w:eastAsia="Times New Roman" w:hAnsi="Calibri" w:cs="Calibri"/>
          <w:b/>
        </w:rPr>
        <w:t>Madde 2</w:t>
      </w:r>
      <w:proofErr w:type="gramStart"/>
      <w:r w:rsidRPr="001E5D05">
        <w:rPr>
          <w:rStyle w:val="apple-style-span"/>
          <w:rFonts w:ascii="Calibri" w:eastAsia="Times New Roman" w:hAnsi="Calibri" w:cs="Calibri"/>
          <w:b/>
        </w:rPr>
        <w:t>)</w:t>
      </w:r>
      <w:proofErr w:type="gramEnd"/>
      <w:r w:rsidRPr="001E5D05">
        <w:rPr>
          <w:rStyle w:val="apple-style-span"/>
          <w:rFonts w:ascii="Calibri" w:eastAsia="Times New Roman" w:hAnsi="Calibri" w:cs="Calibri"/>
        </w:rPr>
        <w:t xml:space="preserve"> İşbu esaslar Türkiye Değerleme Uzmanları Birliği’nin bütün üyelerini kapsar. </w:t>
      </w:r>
    </w:p>
    <w:p w:rsidR="00F57AA4" w:rsidRPr="001E5D05" w:rsidRDefault="00F57AA4" w:rsidP="00087683">
      <w:pPr>
        <w:jc w:val="both"/>
        <w:rPr>
          <w:rStyle w:val="apple-style-span"/>
          <w:rFonts w:ascii="Calibri" w:eastAsia="Times New Roman" w:hAnsi="Calibri" w:cs="Calibri"/>
        </w:rPr>
      </w:pPr>
    </w:p>
    <w:p w:rsidR="004F5B5F" w:rsidRPr="001E5D05" w:rsidRDefault="004F5B5F" w:rsidP="004F5B5F">
      <w:pPr>
        <w:spacing w:after="270"/>
        <w:jc w:val="both"/>
        <w:rPr>
          <w:rFonts w:ascii="Calibri" w:eastAsia="Times New Roman" w:hAnsi="Calibri" w:cs="Calibri"/>
        </w:rPr>
      </w:pPr>
      <w:r w:rsidRPr="001E5D05">
        <w:rPr>
          <w:rFonts w:ascii="Calibri" w:eastAsia="Times New Roman" w:hAnsi="Calibri" w:cs="Calibri"/>
          <w:b/>
        </w:rPr>
        <w:t>Madde 3</w:t>
      </w:r>
      <w:proofErr w:type="gramStart"/>
      <w:r w:rsidRPr="001E5D05">
        <w:rPr>
          <w:rFonts w:ascii="Calibri" w:eastAsia="Times New Roman" w:hAnsi="Calibri" w:cs="Calibri"/>
          <w:b/>
        </w:rPr>
        <w:t>)</w:t>
      </w:r>
      <w:proofErr w:type="gramEnd"/>
      <w:r w:rsidRPr="001E5D05">
        <w:rPr>
          <w:rFonts w:ascii="Calibri" w:eastAsia="Times New Roman" w:hAnsi="Calibri" w:cs="Calibri"/>
        </w:rPr>
        <w:t xml:space="preserve"> Verilecek hizmetler karşılığında tahsil edilecek ücretler ve masraflar ile değerleme faaliyetleri için yapılması zaruri olan harç, vergi, ulaşım ve sair giderler ile bunların ödeme usulleri gibi ücret ve ödemeye dair tüm hususlar </w:t>
      </w:r>
      <w:r w:rsidRPr="001E5D05">
        <w:rPr>
          <w:rFonts w:ascii="Calibri" w:eastAsia="Times New Roman" w:hAnsi="Calibri" w:cs="Calibri"/>
          <w:b/>
          <w:i/>
        </w:rPr>
        <w:t>verilecek hizmetten önce</w:t>
      </w:r>
      <w:r w:rsidRPr="001E5D05">
        <w:rPr>
          <w:rFonts w:ascii="Calibri" w:eastAsia="Times New Roman" w:hAnsi="Calibri" w:cs="Calibri"/>
        </w:rPr>
        <w:t xml:space="preserve"> yapılacak yazılı bir </w:t>
      </w:r>
      <w:proofErr w:type="gramStart"/>
      <w:r w:rsidRPr="001E5D05">
        <w:rPr>
          <w:rFonts w:ascii="Calibri" w:eastAsia="Times New Roman" w:hAnsi="Calibri" w:cs="Calibri"/>
        </w:rPr>
        <w:t>sözleşme</w:t>
      </w:r>
      <w:proofErr w:type="gramEnd"/>
      <w:r w:rsidRPr="001E5D05">
        <w:rPr>
          <w:rFonts w:ascii="Calibri" w:eastAsia="Times New Roman" w:hAnsi="Calibri" w:cs="Calibri"/>
        </w:rPr>
        <w:t xml:space="preserve"> ile belirlenir. </w:t>
      </w:r>
    </w:p>
    <w:p w:rsidR="004F5B5F" w:rsidRPr="001E5D05" w:rsidRDefault="004F5B5F" w:rsidP="00083C7F">
      <w:pPr>
        <w:spacing w:after="270"/>
        <w:jc w:val="both"/>
        <w:rPr>
          <w:rFonts w:ascii="Calibri" w:eastAsia="Times New Roman" w:hAnsi="Calibri" w:cs="Calibri"/>
        </w:rPr>
      </w:pPr>
      <w:r w:rsidRPr="001E5D05">
        <w:rPr>
          <w:rFonts w:ascii="Calibri" w:eastAsia="Times New Roman" w:hAnsi="Calibri" w:cs="Calibri"/>
        </w:rPr>
        <w:t xml:space="preserve">Değerleme raporlarına dayanak olan sözleşmeler işbu esaslara uygun hazırlanır veya uygun hale getirilir. Bu sözleşmelerde iş mevzuatına, değerleme faaliyetleriyle ilgili diğer mevzuat hükümlerine, işbu esaslara, Türkiye Değerleme Uzmanları Birliği Değerlendirme ve Disiplin Yönetmeliği hükümlerine ve Birlikçe yayınlanacak diğer standart ve kurallara </w:t>
      </w:r>
      <w:r w:rsidRPr="001E5D05">
        <w:rPr>
          <w:rFonts w:ascii="Calibri" w:eastAsia="Times New Roman" w:hAnsi="Calibri" w:cs="Calibri"/>
          <w:b/>
          <w:i/>
        </w:rPr>
        <w:t>aykırı hükümlere yer verilemez.</w:t>
      </w:r>
      <w:r w:rsidRPr="001E5D05">
        <w:rPr>
          <w:rFonts w:ascii="Calibri" w:eastAsia="Times New Roman" w:hAnsi="Calibri" w:cs="Calibri"/>
          <w:b/>
        </w:rPr>
        <w:t xml:space="preserve"> </w:t>
      </w:r>
    </w:p>
    <w:p w:rsidR="004F5B5F" w:rsidRPr="001E5D05" w:rsidRDefault="00083C7F" w:rsidP="00083C7F">
      <w:pPr>
        <w:spacing w:after="270"/>
        <w:jc w:val="both"/>
        <w:rPr>
          <w:rFonts w:ascii="Calibri" w:eastAsia="Times New Roman" w:hAnsi="Calibri" w:cs="Calibri"/>
        </w:rPr>
      </w:pPr>
      <w:r w:rsidRPr="001E5D05">
        <w:rPr>
          <w:rFonts w:ascii="Calibri" w:eastAsia="Times New Roman" w:hAnsi="Calibri" w:cs="Calibri"/>
          <w:b/>
        </w:rPr>
        <w:t xml:space="preserve">Madde </w:t>
      </w:r>
      <w:r w:rsidR="004F5B5F" w:rsidRPr="001E5D05">
        <w:rPr>
          <w:rFonts w:ascii="Calibri" w:eastAsia="Times New Roman" w:hAnsi="Calibri" w:cs="Calibri"/>
          <w:b/>
        </w:rPr>
        <w:t>4</w:t>
      </w:r>
      <w:proofErr w:type="gramStart"/>
      <w:r w:rsidRPr="001E5D05">
        <w:rPr>
          <w:rFonts w:ascii="Calibri" w:eastAsia="Times New Roman" w:hAnsi="Calibri" w:cs="Calibri"/>
          <w:b/>
        </w:rPr>
        <w:t>)</w:t>
      </w:r>
      <w:proofErr w:type="gramEnd"/>
      <w:r w:rsidRPr="001E5D05">
        <w:rPr>
          <w:rFonts w:ascii="Calibri" w:eastAsia="Times New Roman" w:hAnsi="Calibri" w:cs="Calibri"/>
        </w:rPr>
        <w:t> Verilecek hizmetler karşılığında tahsil edilecek ücret ve masraflar</w:t>
      </w:r>
      <w:r w:rsidR="00C71B64" w:rsidRPr="001E5D05">
        <w:rPr>
          <w:rFonts w:ascii="Calibri" w:eastAsia="Times New Roman" w:hAnsi="Calibri" w:cs="Calibri"/>
        </w:rPr>
        <w:t xml:space="preserve">; </w:t>
      </w:r>
      <w:r w:rsidRPr="001E5D05">
        <w:rPr>
          <w:rFonts w:ascii="Calibri" w:eastAsia="Times New Roman" w:hAnsi="Calibri" w:cs="Calibri"/>
        </w:rPr>
        <w:t xml:space="preserve">verilecek hizmet sonucunda takdir edilecek olan değerlerle, değerleme raporunun teslim süresiyle </w:t>
      </w:r>
      <w:r w:rsidRPr="001E5D05">
        <w:rPr>
          <w:rFonts w:ascii="Calibri" w:eastAsia="Times New Roman" w:hAnsi="Calibri" w:cs="Calibri"/>
          <w:b/>
        </w:rPr>
        <w:t>ilişkilendirilemez</w:t>
      </w:r>
      <w:r w:rsidR="004830AF" w:rsidRPr="001E5D05">
        <w:rPr>
          <w:rFonts w:ascii="Calibri" w:eastAsia="Times New Roman" w:hAnsi="Calibri" w:cs="Calibri"/>
          <w:b/>
        </w:rPr>
        <w:t>.</w:t>
      </w:r>
      <w:r w:rsidR="004830AF" w:rsidRPr="001E5D05">
        <w:rPr>
          <w:rFonts w:ascii="Calibri" w:eastAsia="Times New Roman" w:hAnsi="Calibri" w:cs="Calibri"/>
        </w:rPr>
        <w:t xml:space="preserve"> </w:t>
      </w:r>
    </w:p>
    <w:p w:rsidR="004F5B5F" w:rsidRPr="001E5D05" w:rsidRDefault="004F5B5F" w:rsidP="00083C7F">
      <w:pPr>
        <w:spacing w:after="270"/>
        <w:jc w:val="both"/>
        <w:rPr>
          <w:rFonts w:ascii="Calibri" w:eastAsia="Times New Roman" w:hAnsi="Calibri" w:cs="Calibri"/>
        </w:rPr>
      </w:pPr>
      <w:r w:rsidRPr="001E5D05">
        <w:rPr>
          <w:rFonts w:ascii="Calibri" w:eastAsia="Times New Roman" w:hAnsi="Calibri" w:cs="Calibri"/>
        </w:rPr>
        <w:t xml:space="preserve">Verilecek hizmetler için belirlenen </w:t>
      </w:r>
      <w:r w:rsidRPr="001E5D05">
        <w:rPr>
          <w:rFonts w:ascii="Calibri" w:eastAsia="Times New Roman" w:hAnsi="Calibri" w:cs="Calibri"/>
          <w:b/>
          <w:i/>
        </w:rPr>
        <w:t>ücret ve masrafların ödenmesi</w:t>
      </w:r>
      <w:r w:rsidRPr="001E5D05">
        <w:rPr>
          <w:rFonts w:ascii="Calibri" w:eastAsia="Times New Roman" w:hAnsi="Calibri" w:cs="Calibri"/>
        </w:rPr>
        <w:t xml:space="preserve">; değerleme hizmetine konu varlığın alım satımının gerçekleşmesi, bu varlıkla ilgili bir kredilendirme işlemi yapılıp yapılmadığı da dahil olmak üzere hizmetin verilmesi dışında </w:t>
      </w:r>
      <w:r w:rsidRPr="001E5D05">
        <w:rPr>
          <w:rFonts w:ascii="Calibri" w:eastAsia="Times New Roman" w:hAnsi="Calibri" w:cs="Calibri"/>
          <w:b/>
          <w:i/>
        </w:rPr>
        <w:t>herhangi bir şarta bağlanamaz</w:t>
      </w:r>
      <w:r w:rsidRPr="001E5D05">
        <w:rPr>
          <w:rFonts w:ascii="Calibri" w:eastAsia="Times New Roman" w:hAnsi="Calibri" w:cs="Calibri"/>
        </w:rPr>
        <w:t>.</w:t>
      </w:r>
    </w:p>
    <w:p w:rsidR="00703155" w:rsidRPr="001E5D05" w:rsidRDefault="00F90CE3" w:rsidP="004B5A70">
      <w:pPr>
        <w:jc w:val="both"/>
        <w:rPr>
          <w:rFonts w:ascii="Calibri" w:eastAsia="Times New Roman" w:hAnsi="Calibri" w:cs="Calibri"/>
        </w:rPr>
      </w:pPr>
      <w:r w:rsidRPr="001E5D05">
        <w:rPr>
          <w:rFonts w:ascii="Calibri" w:eastAsia="Times New Roman" w:hAnsi="Calibri" w:cs="Calibri"/>
        </w:rPr>
        <w:t xml:space="preserve">Toplu hizmet alımı </w:t>
      </w:r>
      <w:r w:rsidR="00553DE5" w:rsidRPr="001E5D05">
        <w:rPr>
          <w:rFonts w:ascii="Calibri" w:eastAsia="Times New Roman" w:hAnsi="Calibri" w:cs="Calibri"/>
        </w:rPr>
        <w:t xml:space="preserve">veya benzer </w:t>
      </w:r>
      <w:r w:rsidR="004F5B5F" w:rsidRPr="001E5D05">
        <w:rPr>
          <w:rFonts w:ascii="Calibri" w:eastAsia="Times New Roman" w:hAnsi="Calibri" w:cs="Calibri"/>
        </w:rPr>
        <w:t>yöntemlerle</w:t>
      </w:r>
      <w:r w:rsidR="00553DE5" w:rsidRPr="001E5D05">
        <w:rPr>
          <w:rFonts w:ascii="Calibri" w:eastAsia="Times New Roman" w:hAnsi="Calibri" w:cs="Calibri"/>
        </w:rPr>
        <w:t xml:space="preserve"> </w:t>
      </w:r>
      <w:r w:rsidR="00553DE5" w:rsidRPr="001E5D05">
        <w:rPr>
          <w:rFonts w:ascii="Calibri" w:eastAsia="Times New Roman" w:hAnsi="Calibri" w:cs="Calibri"/>
          <w:b/>
          <w:i/>
        </w:rPr>
        <w:t>ücret indirimi</w:t>
      </w:r>
      <w:r w:rsidRPr="001E5D05">
        <w:rPr>
          <w:rFonts w:ascii="Calibri" w:eastAsia="Times New Roman" w:hAnsi="Calibri" w:cs="Calibri"/>
          <w:b/>
          <w:i/>
        </w:rPr>
        <w:t xml:space="preserve"> uygulanamayacak</w:t>
      </w:r>
      <w:r w:rsidRPr="001E5D05">
        <w:rPr>
          <w:rFonts w:ascii="Calibri" w:eastAsia="Times New Roman" w:hAnsi="Calibri" w:cs="Calibri"/>
        </w:rPr>
        <w:t xml:space="preserve"> olup</w:t>
      </w:r>
      <w:r w:rsidR="00C71B64" w:rsidRPr="001E5D05">
        <w:rPr>
          <w:rFonts w:ascii="Calibri" w:eastAsia="Times New Roman" w:hAnsi="Calibri" w:cs="Calibri"/>
        </w:rPr>
        <w:t>,</w:t>
      </w:r>
      <w:r w:rsidRPr="001E5D05">
        <w:rPr>
          <w:rFonts w:ascii="Calibri" w:eastAsia="Times New Roman" w:hAnsi="Calibri" w:cs="Calibri"/>
        </w:rPr>
        <w:t xml:space="preserve"> hazırlanacak her bir değerleme raporu </w:t>
      </w:r>
      <w:r w:rsidR="004B5A70" w:rsidRPr="001E5D05">
        <w:rPr>
          <w:rFonts w:ascii="Calibri" w:eastAsia="Times New Roman" w:hAnsi="Calibri" w:cs="Calibri"/>
        </w:rPr>
        <w:t>için işbu esaslarda belirlenen ilgili değerleme raporu asgari birim ücretinin</w:t>
      </w:r>
      <w:r w:rsidRPr="001E5D05">
        <w:rPr>
          <w:rFonts w:ascii="Calibri" w:eastAsia="Times New Roman" w:hAnsi="Calibri" w:cs="Calibri"/>
        </w:rPr>
        <w:t xml:space="preserve"> altında olmamak üzere bir ücret belirlen</w:t>
      </w:r>
      <w:r w:rsidR="004F5B5F" w:rsidRPr="001E5D05">
        <w:rPr>
          <w:rFonts w:ascii="Calibri" w:eastAsia="Times New Roman" w:hAnsi="Calibri" w:cs="Calibri"/>
        </w:rPr>
        <w:t>melidir.</w:t>
      </w:r>
      <w:r w:rsidR="00703155" w:rsidRPr="001E5D05">
        <w:rPr>
          <w:rFonts w:ascii="Calibri" w:eastAsia="Times New Roman" w:hAnsi="Calibri" w:cs="Calibri"/>
        </w:rPr>
        <w:t xml:space="preserve"> Ancak, </w:t>
      </w:r>
      <w:r w:rsidR="004B5A70" w:rsidRPr="001E5D05">
        <w:rPr>
          <w:rFonts w:ascii="Calibri" w:eastAsia="Times New Roman" w:hAnsi="Calibri" w:cs="Calibri"/>
        </w:rPr>
        <w:t xml:space="preserve">aynı değerleme raporuna konu, aynı tarihte değerleme çalışması yapılan aynı parselde </w:t>
      </w:r>
      <w:r w:rsidR="00703155" w:rsidRPr="001E5D05">
        <w:rPr>
          <w:rFonts w:ascii="Calibri" w:eastAsia="Times New Roman" w:hAnsi="Calibri" w:cs="Calibri"/>
        </w:rPr>
        <w:t>birden fazla bağımsız bölüm vars</w:t>
      </w:r>
      <w:r w:rsidR="004B5A70" w:rsidRPr="001E5D05">
        <w:rPr>
          <w:rFonts w:ascii="Calibri" w:eastAsia="Times New Roman" w:hAnsi="Calibri" w:cs="Calibri"/>
        </w:rPr>
        <w:t xml:space="preserve">a; birinci bağımsız bölüm için bir </w:t>
      </w:r>
      <w:r w:rsidR="00246456" w:rsidRPr="001E5D05">
        <w:rPr>
          <w:rFonts w:ascii="Calibri" w:eastAsia="Times New Roman" w:hAnsi="Calibri" w:cs="Calibri"/>
        </w:rPr>
        <w:t>değerleme r</w:t>
      </w:r>
      <w:r w:rsidR="004B5A70" w:rsidRPr="001E5D05">
        <w:rPr>
          <w:rFonts w:ascii="Calibri" w:eastAsia="Times New Roman" w:hAnsi="Calibri" w:cs="Calibri"/>
        </w:rPr>
        <w:t xml:space="preserve">aporu </w:t>
      </w:r>
      <w:r w:rsidR="00246456" w:rsidRPr="001E5D05">
        <w:rPr>
          <w:rFonts w:ascii="Calibri" w:eastAsia="Times New Roman" w:hAnsi="Calibri" w:cs="Calibri"/>
        </w:rPr>
        <w:t>a</w:t>
      </w:r>
      <w:r w:rsidR="004B5A70" w:rsidRPr="001E5D05">
        <w:rPr>
          <w:rFonts w:ascii="Calibri" w:eastAsia="Times New Roman" w:hAnsi="Calibri" w:cs="Calibri"/>
        </w:rPr>
        <w:t xml:space="preserve">sgari </w:t>
      </w:r>
      <w:r w:rsidR="00246456" w:rsidRPr="001E5D05">
        <w:rPr>
          <w:rFonts w:ascii="Calibri" w:eastAsia="Times New Roman" w:hAnsi="Calibri" w:cs="Calibri"/>
        </w:rPr>
        <w:t>b</w:t>
      </w:r>
      <w:r w:rsidR="004B5A70" w:rsidRPr="001E5D05">
        <w:rPr>
          <w:rFonts w:ascii="Calibri" w:eastAsia="Times New Roman" w:hAnsi="Calibri" w:cs="Calibri"/>
        </w:rPr>
        <w:t xml:space="preserve">irim </w:t>
      </w:r>
      <w:r w:rsidR="00246456" w:rsidRPr="001E5D05">
        <w:rPr>
          <w:rFonts w:ascii="Calibri" w:eastAsia="Times New Roman" w:hAnsi="Calibri" w:cs="Calibri"/>
        </w:rPr>
        <w:t>ü</w:t>
      </w:r>
      <w:r w:rsidR="004B5A70" w:rsidRPr="001E5D05">
        <w:rPr>
          <w:rFonts w:ascii="Calibri" w:eastAsia="Times New Roman" w:hAnsi="Calibri" w:cs="Calibri"/>
        </w:rPr>
        <w:t>creti</w:t>
      </w:r>
      <w:r w:rsidR="004B5A70" w:rsidRPr="001E5D05">
        <w:rPr>
          <w:rFonts w:ascii="Calibri" w:eastAsia="Times New Roman" w:hAnsi="Calibri" w:cs="Calibri"/>
          <w:b/>
          <w:bCs/>
        </w:rPr>
        <w:t xml:space="preserve"> </w:t>
      </w:r>
      <w:r w:rsidR="004B5A70" w:rsidRPr="001E5D05">
        <w:rPr>
          <w:rFonts w:ascii="Calibri" w:eastAsia="Times New Roman" w:hAnsi="Calibri" w:cs="Calibri"/>
        </w:rPr>
        <w:t>ödenir</w:t>
      </w:r>
      <w:r w:rsidR="00246456" w:rsidRPr="001E5D05">
        <w:rPr>
          <w:rFonts w:ascii="Calibri" w:eastAsia="Times New Roman" w:hAnsi="Calibri" w:cs="Calibri"/>
        </w:rPr>
        <w:t>,</w:t>
      </w:r>
      <w:r w:rsidR="004B5A70" w:rsidRPr="001E5D05">
        <w:rPr>
          <w:rFonts w:ascii="Calibri" w:eastAsia="Times New Roman" w:hAnsi="Calibri" w:cs="Calibri"/>
        </w:rPr>
        <w:t xml:space="preserve"> </w:t>
      </w:r>
      <w:r w:rsidR="00246456" w:rsidRPr="001E5D05">
        <w:rPr>
          <w:rFonts w:ascii="Calibri" w:eastAsia="Times New Roman" w:hAnsi="Calibri" w:cs="Calibri"/>
        </w:rPr>
        <w:t>a</w:t>
      </w:r>
      <w:r w:rsidR="004B5A70" w:rsidRPr="001E5D05">
        <w:rPr>
          <w:rFonts w:ascii="Calibri" w:eastAsia="Times New Roman" w:hAnsi="Calibri" w:cs="Calibri"/>
        </w:rPr>
        <w:t>yrıca</w:t>
      </w:r>
      <w:r w:rsidR="00703155" w:rsidRPr="001E5D05">
        <w:rPr>
          <w:rFonts w:ascii="Calibri" w:eastAsia="Times New Roman" w:hAnsi="Calibri" w:cs="Calibri"/>
        </w:rPr>
        <w:t xml:space="preserve"> </w:t>
      </w:r>
      <w:r w:rsidR="004B5A70" w:rsidRPr="001E5D05">
        <w:rPr>
          <w:rFonts w:ascii="Calibri" w:eastAsia="Times New Roman" w:hAnsi="Calibri" w:cs="Calibri"/>
        </w:rPr>
        <w:t xml:space="preserve">ilave </w:t>
      </w:r>
      <w:r w:rsidR="00703155" w:rsidRPr="001E5D05">
        <w:rPr>
          <w:rFonts w:ascii="Calibri" w:eastAsia="Times New Roman" w:hAnsi="Calibri" w:cs="Calibri"/>
        </w:rPr>
        <w:t>her bir yeni bağımsız bölüm için bu ücretin en az %10’u öden</w:t>
      </w:r>
      <w:r w:rsidR="00246456" w:rsidRPr="001E5D05">
        <w:rPr>
          <w:rFonts w:ascii="Calibri" w:eastAsia="Times New Roman" w:hAnsi="Calibri" w:cs="Calibri"/>
        </w:rPr>
        <w:t>ecektir.</w:t>
      </w:r>
    </w:p>
    <w:p w:rsidR="004B5A70" w:rsidRPr="001E5D05" w:rsidRDefault="004B5A70" w:rsidP="004B5A70">
      <w:pPr>
        <w:jc w:val="both"/>
        <w:rPr>
          <w:rFonts w:ascii="Calibri" w:eastAsia="Times New Roman" w:hAnsi="Calibri" w:cs="Calibri"/>
          <w:b/>
          <w:bCs/>
          <w:highlight w:val="yellow"/>
        </w:rPr>
      </w:pPr>
    </w:p>
    <w:p w:rsidR="004F5B5F" w:rsidRPr="001E5D05" w:rsidRDefault="00C37EA3" w:rsidP="00087683">
      <w:pPr>
        <w:spacing w:after="270"/>
        <w:jc w:val="both"/>
        <w:rPr>
          <w:rFonts w:ascii="Calibri" w:eastAsia="Times New Roman" w:hAnsi="Calibri" w:cs="Calibri"/>
        </w:rPr>
      </w:pPr>
      <w:r w:rsidRPr="001E5D05">
        <w:rPr>
          <w:rFonts w:ascii="Calibri" w:eastAsia="Times New Roman" w:hAnsi="Calibri" w:cs="Calibri"/>
          <w:b/>
        </w:rPr>
        <w:t xml:space="preserve">Madde </w:t>
      </w:r>
      <w:r w:rsidR="004F5B5F" w:rsidRPr="001E5D05">
        <w:rPr>
          <w:rFonts w:ascii="Calibri" w:eastAsia="Times New Roman" w:hAnsi="Calibri" w:cs="Calibri"/>
          <w:b/>
        </w:rPr>
        <w:t>5</w:t>
      </w:r>
      <w:proofErr w:type="gramStart"/>
      <w:r w:rsidRPr="001E5D05">
        <w:rPr>
          <w:rFonts w:ascii="Calibri" w:eastAsia="Times New Roman" w:hAnsi="Calibri" w:cs="Calibri"/>
          <w:b/>
        </w:rPr>
        <w:t>)</w:t>
      </w:r>
      <w:proofErr w:type="gramEnd"/>
      <w:r w:rsidRPr="001E5D05">
        <w:rPr>
          <w:rFonts w:ascii="Calibri" w:eastAsia="Times New Roman" w:hAnsi="Calibri" w:cs="Calibri"/>
        </w:rPr>
        <w:t> </w:t>
      </w:r>
      <w:r w:rsidR="004F5B5F" w:rsidRPr="001E5D05">
        <w:rPr>
          <w:rFonts w:ascii="Calibri" w:eastAsia="Times New Roman" w:hAnsi="Calibri" w:cs="Calibri"/>
        </w:rPr>
        <w:t>İşbu esasların ekinde yer alan ücret ve masraf tutarları asgari nitelikte olup taraflarca işin özelliğine göre daha yüksek bir tutar belirlenebilir.</w:t>
      </w:r>
      <w:r w:rsidRPr="001E5D05">
        <w:rPr>
          <w:rFonts w:ascii="Calibri" w:eastAsia="Times New Roman" w:hAnsi="Calibri" w:cs="Calibri"/>
        </w:rPr>
        <w:t xml:space="preserve"> </w:t>
      </w:r>
    </w:p>
    <w:p w:rsidR="00703155" w:rsidRPr="001E5D05" w:rsidRDefault="00C37EA3" w:rsidP="00F57AA4">
      <w:pPr>
        <w:spacing w:after="270"/>
        <w:jc w:val="both"/>
        <w:rPr>
          <w:rFonts w:ascii="Calibri" w:eastAsia="Times New Roman" w:hAnsi="Calibri" w:cs="Calibri"/>
        </w:rPr>
      </w:pPr>
      <w:r w:rsidRPr="001E5D05">
        <w:rPr>
          <w:rFonts w:ascii="Calibri" w:eastAsia="Times New Roman" w:hAnsi="Calibri" w:cs="Calibri"/>
        </w:rPr>
        <w:t xml:space="preserve">Belirlenen asgari ücret ve masraf tutarları sadece verilecek değerleme hizmetine </w:t>
      </w:r>
      <w:r w:rsidR="001E4F64" w:rsidRPr="001E5D05">
        <w:rPr>
          <w:rFonts w:ascii="Calibri" w:eastAsia="Times New Roman" w:hAnsi="Calibri" w:cs="Calibri"/>
        </w:rPr>
        <w:t>ilişkin</w:t>
      </w:r>
      <w:r w:rsidRPr="001E5D05">
        <w:rPr>
          <w:rFonts w:ascii="Calibri" w:eastAsia="Times New Roman" w:hAnsi="Calibri" w:cs="Calibri"/>
        </w:rPr>
        <w:t xml:space="preserve"> olup</w:t>
      </w:r>
      <w:r w:rsidR="001E4F64" w:rsidRPr="001E5D05">
        <w:rPr>
          <w:rFonts w:ascii="Calibri" w:eastAsia="Times New Roman" w:hAnsi="Calibri" w:cs="Calibri"/>
        </w:rPr>
        <w:t>,</w:t>
      </w:r>
      <w:r w:rsidRPr="001E5D05">
        <w:rPr>
          <w:rFonts w:ascii="Calibri" w:eastAsia="Times New Roman" w:hAnsi="Calibri" w:cs="Calibri"/>
        </w:rPr>
        <w:t xml:space="preserve"> hizmetin verilmesi için gereken</w:t>
      </w:r>
      <w:r w:rsidR="000B0BC9" w:rsidRPr="001E5D05">
        <w:rPr>
          <w:rFonts w:ascii="Calibri" w:eastAsia="Times New Roman" w:hAnsi="Calibri" w:cs="Calibri"/>
        </w:rPr>
        <w:t xml:space="preserve"> ulaşım masrafları ile bilgi</w:t>
      </w:r>
      <w:r w:rsidRPr="001E5D05">
        <w:rPr>
          <w:rFonts w:ascii="Calibri" w:eastAsia="Times New Roman" w:hAnsi="Calibri" w:cs="Calibri"/>
        </w:rPr>
        <w:t xml:space="preserve"> ve belgelerin temininde resmi kurumlara yapılan harç ve benzeri ödemeler ile KDV ve diğer vergiler</w:t>
      </w:r>
      <w:r w:rsidR="001E4F64" w:rsidRPr="001E5D05">
        <w:rPr>
          <w:rFonts w:ascii="Calibri" w:eastAsia="Times New Roman" w:hAnsi="Calibri" w:cs="Calibri"/>
        </w:rPr>
        <w:t>,</w:t>
      </w:r>
      <w:r w:rsidRPr="001E5D05">
        <w:rPr>
          <w:rFonts w:ascii="Calibri" w:eastAsia="Times New Roman" w:hAnsi="Calibri" w:cs="Calibri"/>
        </w:rPr>
        <w:t xml:space="preserve"> tahsil edilecek ücretlere ayrıca </w:t>
      </w:r>
      <w:r w:rsidR="001E4F64" w:rsidRPr="001E5D05">
        <w:rPr>
          <w:rFonts w:ascii="Calibri" w:eastAsia="Times New Roman" w:hAnsi="Calibri" w:cs="Calibri"/>
        </w:rPr>
        <w:t>eklenir.</w:t>
      </w:r>
      <w:r w:rsidR="00703155" w:rsidRPr="001E5D05">
        <w:rPr>
          <w:rFonts w:ascii="Calibri" w:eastAsia="Times New Roman" w:hAnsi="Calibri" w:cs="Calibri"/>
        </w:rPr>
        <w:t xml:space="preserve"> </w:t>
      </w:r>
    </w:p>
    <w:p w:rsidR="00F57AA4" w:rsidRPr="001E5D05" w:rsidRDefault="00F57AA4" w:rsidP="00F57AA4">
      <w:pPr>
        <w:spacing w:after="270"/>
        <w:jc w:val="both"/>
        <w:rPr>
          <w:rFonts w:ascii="Calibri" w:eastAsia="Times New Roman" w:hAnsi="Calibri" w:cs="Calibri"/>
        </w:rPr>
      </w:pPr>
      <w:r w:rsidRPr="001E5D05">
        <w:rPr>
          <w:rFonts w:ascii="Calibri" w:eastAsia="Times New Roman" w:hAnsi="Calibri" w:cs="Calibri"/>
          <w:b/>
        </w:rPr>
        <w:lastRenderedPageBreak/>
        <w:t>Madde 6</w:t>
      </w:r>
      <w:proofErr w:type="gramStart"/>
      <w:r w:rsidRPr="001E5D05">
        <w:rPr>
          <w:rFonts w:ascii="Calibri" w:eastAsia="Times New Roman" w:hAnsi="Calibri" w:cs="Calibri"/>
          <w:b/>
        </w:rPr>
        <w:t>)</w:t>
      </w:r>
      <w:proofErr w:type="gramEnd"/>
      <w:r w:rsidRPr="001E5D05">
        <w:rPr>
          <w:rFonts w:ascii="Calibri" w:eastAsia="Times New Roman" w:hAnsi="Calibri" w:cs="Calibri"/>
          <w:b/>
        </w:rPr>
        <w:t xml:space="preserve"> </w:t>
      </w:r>
      <w:r w:rsidRPr="001E5D05">
        <w:rPr>
          <w:rFonts w:ascii="Calibri" w:eastAsia="Times New Roman" w:hAnsi="Calibri" w:cs="Calibri"/>
        </w:rPr>
        <w:t xml:space="preserve">Türkiye Değerleme Uzmanları Birliği Yönetim Kurulu, işbu esasların ekinde yer alan ücret ve masraf tutarlarını değiştirmeye ve farklı hizmet türleri için farklı ücret ve masraf tutarları belirlemeye yetkilidir.  </w:t>
      </w:r>
    </w:p>
    <w:p w:rsidR="00F57AA4" w:rsidRPr="001E5D05" w:rsidRDefault="00F57AA4" w:rsidP="00087683">
      <w:pPr>
        <w:jc w:val="both"/>
        <w:rPr>
          <w:rFonts w:ascii="Calibri" w:eastAsia="Times New Roman" w:hAnsi="Calibri" w:cs="Calibri"/>
        </w:rPr>
      </w:pPr>
      <w:r w:rsidRPr="001E5D05">
        <w:rPr>
          <w:rFonts w:ascii="Calibri" w:eastAsia="Times New Roman" w:hAnsi="Calibri" w:cs="Calibri"/>
        </w:rPr>
        <w:t xml:space="preserve">Türkiye Değerleme Uzmanları Birliği Yönetim Kurulu işbu esasların uygulanması, ücret ve masraf tutarlarının gözden geçirilerek yeniden belirlenmesi gibi hususlara dair gerekli düzenlemeleri yapar ve ilgililere duyurur. </w:t>
      </w:r>
      <w:r w:rsidR="004455B0">
        <w:rPr>
          <w:rFonts w:ascii="Calibri" w:eastAsia="Times New Roman" w:hAnsi="Calibri" w:cs="Calibri"/>
        </w:rPr>
        <w:t xml:space="preserve">Ancak, </w:t>
      </w:r>
      <w:r w:rsidR="004455B0" w:rsidRPr="001E5D05">
        <w:rPr>
          <w:rFonts w:ascii="Calibri" w:eastAsia="Times New Roman" w:hAnsi="Calibri" w:cs="Calibri"/>
        </w:rPr>
        <w:t>Türkiye Değerleme Uzmanları Birliği Yönetim Kurulu</w:t>
      </w:r>
      <w:r w:rsidR="004455B0">
        <w:rPr>
          <w:rFonts w:ascii="Calibri" w:eastAsia="Times New Roman" w:hAnsi="Calibri" w:cs="Calibri"/>
        </w:rPr>
        <w:t xml:space="preserve">, Türkiye Değerleme Uzmanları Birliği Genel Kurulu tarafından </w:t>
      </w:r>
      <w:r w:rsidR="00F825D0">
        <w:rPr>
          <w:rFonts w:ascii="Calibri" w:eastAsia="Times New Roman" w:hAnsi="Calibri" w:cs="Calibri"/>
        </w:rPr>
        <w:t>onaylanan asgari birim ücretin</w:t>
      </w:r>
      <w:r w:rsidR="004455B0">
        <w:rPr>
          <w:rFonts w:ascii="Calibri" w:eastAsia="Times New Roman" w:hAnsi="Calibri" w:cs="Calibri"/>
        </w:rPr>
        <w:t xml:space="preserve"> altında bir asgari birim ücret belirleyemez.</w:t>
      </w:r>
    </w:p>
    <w:p w:rsidR="00A97F8D" w:rsidRPr="001E5D05" w:rsidRDefault="00A97F8D" w:rsidP="00087683">
      <w:pPr>
        <w:jc w:val="both"/>
        <w:rPr>
          <w:rFonts w:ascii="Calibri" w:eastAsia="Times New Roman" w:hAnsi="Calibri" w:cs="Calibri"/>
        </w:rPr>
      </w:pPr>
    </w:p>
    <w:p w:rsidR="000B0BC9" w:rsidRPr="001E5D05" w:rsidRDefault="00A97F8D" w:rsidP="00A97F8D">
      <w:pPr>
        <w:spacing w:after="270"/>
        <w:jc w:val="both"/>
        <w:rPr>
          <w:rFonts w:ascii="Calibri" w:eastAsia="Times New Roman" w:hAnsi="Calibri" w:cs="Calibri"/>
        </w:rPr>
      </w:pPr>
      <w:r w:rsidRPr="001E5D05">
        <w:rPr>
          <w:rFonts w:ascii="Calibri" w:eastAsia="Times New Roman" w:hAnsi="Calibri" w:cs="Calibri"/>
        </w:rPr>
        <w:t xml:space="preserve">Türkiye Değerleme Uzmanları Birliği Yönetim Kurulu tarafından başka bir karar alınmadığı sürece, işbu esasların ekindeki değerleme raporu asgari birim </w:t>
      </w:r>
      <w:r w:rsidR="004B5A70" w:rsidRPr="001E5D05">
        <w:rPr>
          <w:rFonts w:ascii="Calibri" w:eastAsia="Times New Roman" w:hAnsi="Calibri" w:cs="Calibri"/>
        </w:rPr>
        <w:t>ücretleri</w:t>
      </w:r>
      <w:r w:rsidRPr="001E5D05">
        <w:rPr>
          <w:rFonts w:ascii="Calibri" w:eastAsia="Times New Roman" w:hAnsi="Calibri" w:cs="Calibri"/>
        </w:rPr>
        <w:t xml:space="preserve"> her </w:t>
      </w:r>
      <w:proofErr w:type="gramStart"/>
      <w:r w:rsidRPr="001E5D05">
        <w:rPr>
          <w:rFonts w:ascii="Calibri" w:eastAsia="Times New Roman" w:hAnsi="Calibri" w:cs="Calibri"/>
        </w:rPr>
        <w:t>yıl başında</w:t>
      </w:r>
      <w:proofErr w:type="gramEnd"/>
      <w:r w:rsidRPr="001E5D05">
        <w:rPr>
          <w:rFonts w:ascii="Calibri" w:eastAsia="Times New Roman" w:hAnsi="Calibri" w:cs="Calibri"/>
        </w:rPr>
        <w:t xml:space="preserve"> Türkiye İstatistik Kurumu</w:t>
      </w:r>
      <w:r w:rsidR="000B0BC9" w:rsidRPr="001E5D05">
        <w:rPr>
          <w:rFonts w:ascii="Calibri" w:eastAsia="Times New Roman" w:hAnsi="Calibri" w:cs="Calibri"/>
        </w:rPr>
        <w:t xml:space="preserve"> tarafından </w:t>
      </w:r>
      <w:r w:rsidR="00246456" w:rsidRPr="001E5D05">
        <w:rPr>
          <w:rFonts w:ascii="Calibri" w:eastAsia="Times New Roman" w:hAnsi="Calibri" w:cs="Calibri"/>
        </w:rPr>
        <w:t xml:space="preserve">Aralık ayında </w:t>
      </w:r>
      <w:r w:rsidR="000B0BC9" w:rsidRPr="001E5D05">
        <w:rPr>
          <w:rFonts w:ascii="Calibri" w:eastAsia="Times New Roman" w:hAnsi="Calibri" w:cs="Calibri"/>
        </w:rPr>
        <w:t>açıklan</w:t>
      </w:r>
      <w:r w:rsidRPr="001E5D05">
        <w:rPr>
          <w:rFonts w:ascii="Calibri" w:eastAsia="Times New Roman" w:hAnsi="Calibri" w:cs="Calibri"/>
        </w:rPr>
        <w:t xml:space="preserve">an </w:t>
      </w:r>
      <w:r w:rsidR="00246456" w:rsidRPr="001E5D05">
        <w:rPr>
          <w:rFonts w:ascii="Calibri" w:eastAsia="Times New Roman" w:hAnsi="Calibri" w:cs="Calibri"/>
        </w:rPr>
        <w:t xml:space="preserve">yıllık </w:t>
      </w:r>
      <w:r w:rsidR="006C1A26" w:rsidRPr="001E5D05">
        <w:rPr>
          <w:rFonts w:ascii="Calibri" w:eastAsia="Times New Roman" w:hAnsi="Calibri" w:cs="Calibri"/>
        </w:rPr>
        <w:t xml:space="preserve">bazda </w:t>
      </w:r>
      <w:r w:rsidRPr="001E5D05">
        <w:rPr>
          <w:rFonts w:ascii="Calibri" w:eastAsia="Times New Roman" w:hAnsi="Calibri" w:cs="Calibri"/>
        </w:rPr>
        <w:t>fiyat endeksi (</w:t>
      </w:r>
      <w:r w:rsidR="000B0BC9" w:rsidRPr="001E5D05">
        <w:rPr>
          <w:rFonts w:ascii="Calibri" w:eastAsia="Times New Roman" w:hAnsi="Calibri" w:cs="Calibri"/>
        </w:rPr>
        <w:t>TÜFE</w:t>
      </w:r>
      <w:r w:rsidRPr="001E5D05">
        <w:rPr>
          <w:rFonts w:ascii="Calibri" w:eastAsia="Times New Roman" w:hAnsi="Calibri" w:cs="Calibri"/>
        </w:rPr>
        <w:t>)</w:t>
      </w:r>
      <w:r w:rsidR="000B0BC9" w:rsidRPr="001E5D05">
        <w:rPr>
          <w:rFonts w:ascii="Calibri" w:eastAsia="Times New Roman" w:hAnsi="Calibri" w:cs="Calibri"/>
        </w:rPr>
        <w:t xml:space="preserve"> artış oranında artırılır ve en yakın 1</w:t>
      </w:r>
      <w:r w:rsidRPr="001E5D05">
        <w:rPr>
          <w:rFonts w:ascii="Calibri" w:eastAsia="Times New Roman" w:hAnsi="Calibri" w:cs="Calibri"/>
        </w:rPr>
        <w:t>0</w:t>
      </w:r>
      <w:r w:rsidR="000B0BC9" w:rsidRPr="001E5D05">
        <w:rPr>
          <w:rFonts w:ascii="Calibri" w:eastAsia="Times New Roman" w:hAnsi="Calibri" w:cs="Calibri"/>
        </w:rPr>
        <w:t xml:space="preserve"> TL‘</w:t>
      </w:r>
      <w:proofErr w:type="spellStart"/>
      <w:r w:rsidR="000B0BC9" w:rsidRPr="001E5D05">
        <w:rPr>
          <w:rFonts w:ascii="Calibri" w:eastAsia="Times New Roman" w:hAnsi="Calibri" w:cs="Calibri"/>
        </w:rPr>
        <w:t>nin</w:t>
      </w:r>
      <w:proofErr w:type="spellEnd"/>
      <w:r w:rsidR="000B0BC9" w:rsidRPr="001E5D05">
        <w:rPr>
          <w:rFonts w:ascii="Calibri" w:eastAsia="Times New Roman" w:hAnsi="Calibri" w:cs="Calibri"/>
        </w:rPr>
        <w:t xml:space="preserve"> katına yuvarla</w:t>
      </w:r>
      <w:r w:rsidR="004B5A70" w:rsidRPr="001E5D05">
        <w:rPr>
          <w:rFonts w:ascii="Calibri" w:eastAsia="Times New Roman" w:hAnsi="Calibri" w:cs="Calibri"/>
        </w:rPr>
        <w:t>nır ve oluşan y</w:t>
      </w:r>
      <w:r w:rsidR="000B0BC9" w:rsidRPr="001E5D05">
        <w:rPr>
          <w:rFonts w:ascii="Calibri" w:eastAsia="Times New Roman" w:hAnsi="Calibri" w:cs="Calibri"/>
        </w:rPr>
        <w:t xml:space="preserve">eni </w:t>
      </w:r>
      <w:r w:rsidRPr="001E5D05">
        <w:rPr>
          <w:rFonts w:ascii="Calibri" w:eastAsia="Times New Roman" w:hAnsi="Calibri" w:cs="Calibri"/>
        </w:rPr>
        <w:t xml:space="preserve">değerleme raporu </w:t>
      </w:r>
      <w:r w:rsidR="000B0BC9" w:rsidRPr="001E5D05">
        <w:rPr>
          <w:rFonts w:ascii="Calibri" w:eastAsia="Times New Roman" w:hAnsi="Calibri" w:cs="Calibri"/>
        </w:rPr>
        <w:t>asgari</w:t>
      </w:r>
      <w:r w:rsidRPr="001E5D05">
        <w:rPr>
          <w:rFonts w:ascii="Calibri" w:eastAsia="Times New Roman" w:hAnsi="Calibri" w:cs="Calibri"/>
        </w:rPr>
        <w:t xml:space="preserve"> birim </w:t>
      </w:r>
      <w:r w:rsidR="004B5A70" w:rsidRPr="001E5D05">
        <w:rPr>
          <w:rFonts w:ascii="Calibri" w:eastAsia="Times New Roman" w:hAnsi="Calibri" w:cs="Calibri"/>
        </w:rPr>
        <w:t>ücretleri</w:t>
      </w:r>
      <w:r w:rsidR="000B0BC9" w:rsidRPr="001E5D05">
        <w:rPr>
          <w:rFonts w:ascii="Calibri" w:eastAsia="Times New Roman" w:hAnsi="Calibri" w:cs="Calibri"/>
        </w:rPr>
        <w:t xml:space="preserve"> Ocak ay</w:t>
      </w:r>
      <w:r w:rsidR="004B5A70" w:rsidRPr="001E5D05">
        <w:rPr>
          <w:rFonts w:ascii="Calibri" w:eastAsia="Times New Roman" w:hAnsi="Calibri" w:cs="Calibri"/>
        </w:rPr>
        <w:t>ından itibaren yürürlüğe girer.</w:t>
      </w:r>
    </w:p>
    <w:p w:rsidR="00FD6965" w:rsidRPr="001E5D05" w:rsidRDefault="00FD6965" w:rsidP="00087683">
      <w:pPr>
        <w:jc w:val="both"/>
        <w:rPr>
          <w:rFonts w:ascii="Calibri" w:eastAsia="Times New Roman" w:hAnsi="Calibri" w:cs="Calibri"/>
          <w:b/>
        </w:rPr>
      </w:pPr>
      <w:r w:rsidRPr="001E5D05">
        <w:rPr>
          <w:rFonts w:ascii="Calibri" w:eastAsia="Times New Roman" w:hAnsi="Calibri" w:cs="Calibri"/>
          <w:b/>
        </w:rPr>
        <w:t xml:space="preserve">Madde </w:t>
      </w:r>
      <w:r w:rsidR="00F57AA4" w:rsidRPr="001E5D05">
        <w:rPr>
          <w:rFonts w:ascii="Calibri" w:eastAsia="Times New Roman" w:hAnsi="Calibri" w:cs="Calibri"/>
          <w:b/>
        </w:rPr>
        <w:t>7</w:t>
      </w:r>
      <w:proofErr w:type="gramStart"/>
      <w:r w:rsidRPr="001E5D05">
        <w:rPr>
          <w:rFonts w:ascii="Calibri" w:eastAsia="Times New Roman" w:hAnsi="Calibri" w:cs="Calibri"/>
          <w:b/>
        </w:rPr>
        <w:t>)</w:t>
      </w:r>
      <w:proofErr w:type="gramEnd"/>
      <w:r w:rsidRPr="001E5D05">
        <w:rPr>
          <w:rFonts w:ascii="Calibri" w:eastAsia="Times New Roman" w:hAnsi="Calibri" w:cs="Calibri"/>
          <w:b/>
        </w:rPr>
        <w:t xml:space="preserve"> </w:t>
      </w:r>
      <w:r w:rsidR="00F57AA4" w:rsidRPr="001E5D05">
        <w:rPr>
          <w:rFonts w:ascii="Calibri" w:eastAsia="Times New Roman" w:hAnsi="Calibri" w:cs="Calibri"/>
        </w:rPr>
        <w:t>İş</w:t>
      </w:r>
      <w:r w:rsidRPr="001E5D05">
        <w:rPr>
          <w:rFonts w:ascii="Calibri" w:eastAsia="Times New Roman" w:hAnsi="Calibri" w:cs="Calibri"/>
        </w:rPr>
        <w:t xml:space="preserve">bu esaslara aykırı davranan üyelerimiz hakkında Türkiye Değerleme Uzmanları </w:t>
      </w:r>
      <w:r w:rsidR="00553DE5" w:rsidRPr="001E5D05">
        <w:rPr>
          <w:rFonts w:ascii="Calibri" w:eastAsia="Times New Roman" w:hAnsi="Calibri" w:cs="Calibri"/>
        </w:rPr>
        <w:t xml:space="preserve">Birliği Değerlendirme ve </w:t>
      </w:r>
      <w:r w:rsidRPr="001E5D05">
        <w:rPr>
          <w:rFonts w:ascii="Calibri" w:eastAsia="Times New Roman" w:hAnsi="Calibri" w:cs="Calibri"/>
        </w:rPr>
        <w:t xml:space="preserve">Disiplin Yönetmeliği hükümleri uyarınca gerekli işlemler yapılır ve konu ilgili kurum ve kuruluşlara da bildirilir. </w:t>
      </w:r>
      <w:r w:rsidRPr="001E5D05">
        <w:rPr>
          <w:rFonts w:ascii="Calibri" w:eastAsia="Times New Roman" w:hAnsi="Calibri" w:cs="Calibri"/>
          <w:b/>
        </w:rPr>
        <w:t xml:space="preserve"> </w:t>
      </w:r>
    </w:p>
    <w:p w:rsidR="00FD6965" w:rsidRPr="001E5D05" w:rsidRDefault="00FD6965" w:rsidP="00087683">
      <w:pPr>
        <w:jc w:val="both"/>
        <w:rPr>
          <w:rFonts w:ascii="Calibri" w:eastAsia="Times New Roman" w:hAnsi="Calibri" w:cs="Calibri"/>
          <w:b/>
          <w:u w:val="single"/>
        </w:rPr>
      </w:pPr>
    </w:p>
    <w:p w:rsidR="00C37EA3" w:rsidRPr="001E5D05" w:rsidRDefault="00C37EA3" w:rsidP="00087683">
      <w:pPr>
        <w:jc w:val="both"/>
        <w:rPr>
          <w:rFonts w:ascii="Calibri" w:eastAsia="Times New Roman" w:hAnsi="Calibri" w:cs="Calibri"/>
        </w:rPr>
      </w:pPr>
      <w:r w:rsidRPr="001E5D05">
        <w:rPr>
          <w:rFonts w:ascii="Calibri" w:eastAsia="Times New Roman" w:hAnsi="Calibri" w:cs="Calibri"/>
          <w:b/>
        </w:rPr>
        <w:t xml:space="preserve">Madde </w:t>
      </w:r>
      <w:r w:rsidR="00F57AA4" w:rsidRPr="001E5D05">
        <w:rPr>
          <w:rFonts w:ascii="Calibri" w:eastAsia="Times New Roman" w:hAnsi="Calibri" w:cs="Calibri"/>
          <w:b/>
        </w:rPr>
        <w:t>8</w:t>
      </w:r>
      <w:proofErr w:type="gramStart"/>
      <w:r w:rsidRPr="001E5D05">
        <w:rPr>
          <w:rFonts w:ascii="Calibri" w:eastAsia="Times New Roman" w:hAnsi="Calibri" w:cs="Calibri"/>
          <w:b/>
        </w:rPr>
        <w:t>)</w:t>
      </w:r>
      <w:proofErr w:type="gramEnd"/>
      <w:r w:rsidRPr="001E5D05">
        <w:rPr>
          <w:rFonts w:ascii="Calibri" w:eastAsia="Times New Roman" w:hAnsi="Calibri" w:cs="Calibri"/>
        </w:rPr>
        <w:t xml:space="preserve"> İşbu esaslar </w:t>
      </w:r>
      <w:r w:rsidR="00553DE5" w:rsidRPr="001E5D05">
        <w:rPr>
          <w:rFonts w:ascii="Calibri" w:eastAsia="Times New Roman" w:hAnsi="Calibri" w:cs="Calibri"/>
        </w:rPr>
        <w:t>01.07</w:t>
      </w:r>
      <w:r w:rsidRPr="001E5D05">
        <w:rPr>
          <w:rFonts w:ascii="Calibri" w:eastAsia="Times New Roman" w:hAnsi="Calibri" w:cs="Calibri"/>
        </w:rPr>
        <w:t>.2012</w:t>
      </w:r>
      <w:r w:rsidR="00246456" w:rsidRPr="001E5D05">
        <w:rPr>
          <w:rFonts w:ascii="Calibri" w:eastAsia="Times New Roman" w:hAnsi="Calibri" w:cs="Calibri"/>
        </w:rPr>
        <w:t xml:space="preserve"> tarihi</w:t>
      </w:r>
      <w:r w:rsidRPr="001E5D05">
        <w:rPr>
          <w:rFonts w:ascii="Calibri" w:eastAsia="Times New Roman" w:hAnsi="Calibri" w:cs="Calibri"/>
        </w:rPr>
        <w:t xml:space="preserve"> </w:t>
      </w:r>
      <w:r w:rsidR="00E1028B" w:rsidRPr="001E5D05">
        <w:rPr>
          <w:rFonts w:ascii="Calibri" w:eastAsia="Times New Roman" w:hAnsi="Calibri" w:cs="Calibri"/>
        </w:rPr>
        <w:t>itibarıyla</w:t>
      </w:r>
      <w:r w:rsidRPr="001E5D05">
        <w:rPr>
          <w:rFonts w:ascii="Calibri" w:eastAsia="Times New Roman" w:hAnsi="Calibri" w:cs="Calibri"/>
        </w:rPr>
        <w:t xml:space="preserve"> yürürlüğe girer ve Birlik Yönetim Kurulu tarafından yürütülür.</w:t>
      </w:r>
    </w:p>
    <w:p w:rsidR="00FD6965" w:rsidRPr="001E5D05" w:rsidRDefault="00FD6965" w:rsidP="003A59DC">
      <w:pPr>
        <w:rPr>
          <w:rFonts w:ascii="Calibri" w:eastAsia="Times New Roman" w:hAnsi="Calibri" w:cs="Calibri"/>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1E5D05" w:rsidP="003A59DC">
      <w:pPr>
        <w:rPr>
          <w:rFonts w:ascii="Calibri" w:eastAsia="Times New Roman" w:hAnsi="Calibri" w:cs="Calibri"/>
          <w:b/>
          <w:bCs/>
        </w:rPr>
      </w:pPr>
    </w:p>
    <w:p w:rsidR="001E5D05" w:rsidRDefault="00246456" w:rsidP="003A59DC">
      <w:pPr>
        <w:rPr>
          <w:rFonts w:ascii="Calibri" w:eastAsia="Times New Roman" w:hAnsi="Calibri" w:cs="Calibri"/>
          <w:b/>
          <w:bCs/>
        </w:rPr>
      </w:pPr>
      <w:r w:rsidRPr="001E5D05">
        <w:rPr>
          <w:rFonts w:ascii="Calibri" w:eastAsia="Times New Roman" w:hAnsi="Calibri" w:cs="Calibri"/>
          <w:b/>
          <w:bCs/>
        </w:rPr>
        <w:lastRenderedPageBreak/>
        <w:t>EK</w:t>
      </w:r>
      <w:r w:rsidR="003A59DC" w:rsidRPr="001E5D05">
        <w:rPr>
          <w:rFonts w:ascii="Calibri" w:eastAsia="Times New Roman" w:hAnsi="Calibri" w:cs="Calibri"/>
          <w:b/>
          <w:bCs/>
        </w:rPr>
        <w:t xml:space="preserve">: </w:t>
      </w:r>
    </w:p>
    <w:p w:rsidR="001E5D05" w:rsidRDefault="001E5D05" w:rsidP="003A59DC">
      <w:pPr>
        <w:rPr>
          <w:rFonts w:ascii="Calibri" w:eastAsia="Times New Roman" w:hAnsi="Calibri" w:cs="Calibri"/>
          <w:b/>
          <w:bCs/>
        </w:rPr>
      </w:pPr>
    </w:p>
    <w:p w:rsidR="003A59DC" w:rsidRPr="001E5D05" w:rsidRDefault="003A59DC" w:rsidP="003A59DC">
      <w:pPr>
        <w:rPr>
          <w:rFonts w:ascii="Calibri" w:eastAsia="Times New Roman" w:hAnsi="Calibri" w:cs="Calibri"/>
          <w:b/>
          <w:bCs/>
        </w:rPr>
      </w:pPr>
      <w:r w:rsidRPr="001E5D05">
        <w:rPr>
          <w:rFonts w:ascii="Calibri" w:eastAsia="Times New Roman" w:hAnsi="Calibri" w:cs="Calibri"/>
          <w:b/>
          <w:bCs/>
        </w:rPr>
        <w:t>2012 YILI</w:t>
      </w:r>
      <w:r w:rsidR="00A97F8D" w:rsidRPr="001E5D05">
        <w:rPr>
          <w:rFonts w:ascii="Calibri" w:eastAsia="Times New Roman" w:hAnsi="Calibri" w:cs="Calibri"/>
          <w:b/>
          <w:bCs/>
        </w:rPr>
        <w:t xml:space="preserve"> TARİFESİ</w:t>
      </w:r>
    </w:p>
    <w:p w:rsidR="003A59DC" w:rsidRPr="001E5D05" w:rsidRDefault="003A59DC" w:rsidP="003A59DC">
      <w:pPr>
        <w:rPr>
          <w:rFonts w:ascii="Calibri" w:eastAsia="Times New Roman" w:hAnsi="Calibri" w:cs="Calibri"/>
          <w:b/>
          <w:bCs/>
        </w:rPr>
      </w:pPr>
    </w:p>
    <w:p w:rsidR="00A97F8D" w:rsidRPr="001E5D05" w:rsidRDefault="00A97F8D" w:rsidP="00A97F8D">
      <w:pPr>
        <w:rPr>
          <w:rFonts w:ascii="Calibri" w:eastAsia="Times New Roman" w:hAnsi="Calibri" w:cs="Calibri"/>
          <w:b/>
          <w:bCs/>
        </w:rPr>
      </w:pPr>
      <w:r w:rsidRPr="001E5D05">
        <w:rPr>
          <w:rFonts w:ascii="Calibri" w:eastAsia="Times New Roman" w:hAnsi="Calibri" w:cs="Calibri"/>
        </w:rPr>
        <w:t xml:space="preserve">Değerleme Raporu Asgari Birim </w:t>
      </w:r>
      <w:r w:rsidR="004B5A70" w:rsidRPr="001E5D05">
        <w:rPr>
          <w:rFonts w:ascii="Calibri" w:eastAsia="Times New Roman" w:hAnsi="Calibri" w:cs="Calibri"/>
        </w:rPr>
        <w:t>Ücretleri</w:t>
      </w:r>
    </w:p>
    <w:p w:rsidR="003A59DC" w:rsidRPr="001E5D05" w:rsidRDefault="003A59DC" w:rsidP="003A59DC">
      <w:pPr>
        <w:rPr>
          <w:rFonts w:ascii="Calibri" w:eastAsia="Times New Roman" w:hAnsi="Calibri" w:cs="Calibri"/>
          <w:u w:val="single"/>
        </w:rPr>
      </w:pPr>
    </w:p>
    <w:tbl>
      <w:tblPr>
        <w:tblStyle w:val="TabloKlavuzu"/>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433"/>
        <w:gridCol w:w="6739"/>
      </w:tblGrid>
      <w:tr w:rsidR="00194C57" w:rsidRPr="001E5D05" w:rsidTr="00A97F8D">
        <w:tc>
          <w:tcPr>
            <w:tcW w:w="2093" w:type="dxa"/>
          </w:tcPr>
          <w:p w:rsidR="00194C57" w:rsidRPr="001E5D05" w:rsidRDefault="00A97F8D" w:rsidP="00194C57">
            <w:pPr>
              <w:jc w:val="both"/>
              <w:rPr>
                <w:rFonts w:ascii="Calibri" w:eastAsia="Times New Roman" w:hAnsi="Calibri" w:cs="Calibri"/>
                <w:sz w:val="24"/>
                <w:szCs w:val="24"/>
              </w:rPr>
            </w:pPr>
            <w:r w:rsidRPr="001E5D05">
              <w:rPr>
                <w:rFonts w:ascii="Calibri" w:eastAsia="Times New Roman" w:hAnsi="Calibri" w:cs="Calibri"/>
                <w:sz w:val="24"/>
                <w:szCs w:val="24"/>
              </w:rPr>
              <w:t>Konutlar</w:t>
            </w:r>
          </w:p>
        </w:tc>
        <w:tc>
          <w:tcPr>
            <w:tcW w:w="433" w:type="dxa"/>
          </w:tcPr>
          <w:p w:rsidR="00194C57" w:rsidRPr="001E5D05" w:rsidRDefault="00194C57" w:rsidP="00194C57">
            <w:pPr>
              <w:jc w:val="both"/>
              <w:rPr>
                <w:rFonts w:ascii="Calibri" w:eastAsia="Times New Roman" w:hAnsi="Calibri" w:cs="Calibri"/>
                <w:sz w:val="24"/>
                <w:szCs w:val="24"/>
              </w:rPr>
            </w:pPr>
            <w:r w:rsidRPr="001E5D05">
              <w:rPr>
                <w:rFonts w:ascii="Calibri" w:eastAsia="Times New Roman" w:hAnsi="Calibri" w:cs="Calibri"/>
                <w:sz w:val="24"/>
                <w:szCs w:val="24"/>
              </w:rPr>
              <w:t>:</w:t>
            </w:r>
          </w:p>
        </w:tc>
        <w:tc>
          <w:tcPr>
            <w:tcW w:w="6739" w:type="dxa"/>
          </w:tcPr>
          <w:p w:rsidR="00194C57" w:rsidRPr="001E5D05" w:rsidRDefault="00194C57" w:rsidP="00194C57">
            <w:pPr>
              <w:jc w:val="both"/>
              <w:rPr>
                <w:rFonts w:ascii="Calibri" w:eastAsia="Times New Roman" w:hAnsi="Calibri" w:cs="Calibri"/>
                <w:sz w:val="24"/>
                <w:szCs w:val="24"/>
              </w:rPr>
            </w:pPr>
            <w:r w:rsidRPr="001E5D05">
              <w:rPr>
                <w:rFonts w:ascii="Calibri" w:eastAsia="Times New Roman" w:hAnsi="Calibri" w:cs="Calibri"/>
                <w:sz w:val="24"/>
                <w:szCs w:val="24"/>
              </w:rPr>
              <w:t>300 TL</w:t>
            </w:r>
            <w:r w:rsidR="000B0BC9" w:rsidRPr="001E5D05">
              <w:rPr>
                <w:rFonts w:ascii="Calibri" w:eastAsia="Times New Roman" w:hAnsi="Calibri" w:cs="Calibri"/>
                <w:sz w:val="24"/>
                <w:szCs w:val="24"/>
              </w:rPr>
              <w:t xml:space="preserve"> (KDV Hariç)</w:t>
            </w:r>
          </w:p>
        </w:tc>
      </w:tr>
      <w:tr w:rsidR="00194C57" w:rsidRPr="001E5D05" w:rsidTr="00A97F8D">
        <w:tc>
          <w:tcPr>
            <w:tcW w:w="2093" w:type="dxa"/>
          </w:tcPr>
          <w:p w:rsidR="00194C57" w:rsidRPr="001E5D05" w:rsidRDefault="00194C57" w:rsidP="00194C57">
            <w:pPr>
              <w:jc w:val="both"/>
              <w:rPr>
                <w:rFonts w:ascii="Calibri" w:eastAsia="Times New Roman" w:hAnsi="Calibri" w:cs="Calibri"/>
                <w:sz w:val="24"/>
                <w:szCs w:val="24"/>
              </w:rPr>
            </w:pPr>
            <w:r w:rsidRPr="001E5D05">
              <w:rPr>
                <w:rFonts w:ascii="Calibri" w:eastAsia="Times New Roman" w:hAnsi="Calibri" w:cs="Calibri"/>
                <w:sz w:val="24"/>
                <w:szCs w:val="24"/>
              </w:rPr>
              <w:t>Diğer Varlıklar</w:t>
            </w:r>
          </w:p>
        </w:tc>
        <w:tc>
          <w:tcPr>
            <w:tcW w:w="433" w:type="dxa"/>
          </w:tcPr>
          <w:p w:rsidR="00194C57" w:rsidRPr="001E5D05" w:rsidRDefault="00194C57" w:rsidP="00194C57">
            <w:pPr>
              <w:jc w:val="both"/>
              <w:rPr>
                <w:rFonts w:ascii="Calibri" w:eastAsia="Times New Roman" w:hAnsi="Calibri" w:cs="Calibri"/>
                <w:sz w:val="24"/>
                <w:szCs w:val="24"/>
              </w:rPr>
            </w:pPr>
            <w:r w:rsidRPr="001E5D05">
              <w:rPr>
                <w:rFonts w:ascii="Calibri" w:eastAsia="Times New Roman" w:hAnsi="Calibri" w:cs="Calibri"/>
                <w:sz w:val="24"/>
                <w:szCs w:val="24"/>
              </w:rPr>
              <w:t>:</w:t>
            </w:r>
          </w:p>
        </w:tc>
        <w:tc>
          <w:tcPr>
            <w:tcW w:w="6739" w:type="dxa"/>
          </w:tcPr>
          <w:p w:rsidR="00194C57" w:rsidRPr="001E5D05" w:rsidRDefault="00194C57" w:rsidP="00194C57">
            <w:pPr>
              <w:jc w:val="both"/>
              <w:rPr>
                <w:rFonts w:ascii="Calibri" w:eastAsia="Times New Roman" w:hAnsi="Calibri" w:cs="Calibri"/>
                <w:sz w:val="24"/>
                <w:szCs w:val="24"/>
              </w:rPr>
            </w:pPr>
            <w:r w:rsidRPr="001E5D05">
              <w:rPr>
                <w:rFonts w:ascii="Calibri" w:eastAsia="Times New Roman" w:hAnsi="Calibri" w:cs="Calibri"/>
                <w:sz w:val="24"/>
                <w:szCs w:val="24"/>
              </w:rPr>
              <w:t>300 TL</w:t>
            </w:r>
            <w:r w:rsidR="000B0BC9" w:rsidRPr="001E5D05">
              <w:rPr>
                <w:rFonts w:ascii="Calibri" w:eastAsia="Times New Roman" w:hAnsi="Calibri" w:cs="Calibri"/>
                <w:sz w:val="24"/>
                <w:szCs w:val="24"/>
              </w:rPr>
              <w:t xml:space="preserve"> (KDV Hariç)</w:t>
            </w:r>
            <w:r w:rsidRPr="001E5D05">
              <w:rPr>
                <w:rFonts w:ascii="Calibri" w:eastAsia="Times New Roman" w:hAnsi="Calibri" w:cs="Calibri"/>
                <w:sz w:val="24"/>
                <w:szCs w:val="24"/>
              </w:rPr>
              <w:t>'den az olmamak üzere taraflarca işin özelliğine göre belirlenir.</w:t>
            </w:r>
          </w:p>
        </w:tc>
      </w:tr>
    </w:tbl>
    <w:p w:rsidR="00C37EA3" w:rsidRPr="001E5D05" w:rsidRDefault="00C37EA3" w:rsidP="003A59DC">
      <w:pPr>
        <w:rPr>
          <w:rFonts w:ascii="Calibri" w:eastAsia="Times New Roman" w:hAnsi="Calibri" w:cs="Calibri"/>
        </w:rPr>
      </w:pPr>
    </w:p>
    <w:p w:rsidR="00C37EA3" w:rsidRPr="001E5D05" w:rsidRDefault="00C37EA3" w:rsidP="003A59DC">
      <w:pPr>
        <w:rPr>
          <w:rFonts w:ascii="Calibri" w:eastAsia="Times New Roman" w:hAnsi="Calibri" w:cs="Calibri"/>
        </w:rPr>
      </w:pPr>
      <w:r w:rsidRPr="001E5D05">
        <w:rPr>
          <w:rFonts w:ascii="Calibri" w:eastAsia="Times New Roman" w:hAnsi="Calibri" w:cs="Calibri"/>
        </w:rPr>
        <w:t>  </w:t>
      </w:r>
    </w:p>
    <w:sectPr w:rsidR="00C37EA3" w:rsidRPr="001E5D05" w:rsidSect="00FD6965">
      <w:pgSz w:w="11906" w:h="16838"/>
      <w:pgMar w:top="1276" w:right="1417"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439E"/>
    <w:multiLevelType w:val="hybridMultilevel"/>
    <w:tmpl w:val="A76441AE"/>
    <w:lvl w:ilvl="0" w:tplc="BDF27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37EA3"/>
    <w:rsid w:val="000641B8"/>
    <w:rsid w:val="00083C7F"/>
    <w:rsid w:val="00087683"/>
    <w:rsid w:val="000B0BC9"/>
    <w:rsid w:val="001425F5"/>
    <w:rsid w:val="00192833"/>
    <w:rsid w:val="00194C57"/>
    <w:rsid w:val="001978CF"/>
    <w:rsid w:val="001E4F64"/>
    <w:rsid w:val="001E5D05"/>
    <w:rsid w:val="00246456"/>
    <w:rsid w:val="00307A87"/>
    <w:rsid w:val="00380C47"/>
    <w:rsid w:val="0038253A"/>
    <w:rsid w:val="003A59DC"/>
    <w:rsid w:val="004455B0"/>
    <w:rsid w:val="004830AF"/>
    <w:rsid w:val="004B5A70"/>
    <w:rsid w:val="004E3277"/>
    <w:rsid w:val="004F5B5F"/>
    <w:rsid w:val="00553DE5"/>
    <w:rsid w:val="005E7D17"/>
    <w:rsid w:val="006668CF"/>
    <w:rsid w:val="006A61EF"/>
    <w:rsid w:val="006C1A26"/>
    <w:rsid w:val="00702739"/>
    <w:rsid w:val="00703155"/>
    <w:rsid w:val="007638EB"/>
    <w:rsid w:val="007D62FE"/>
    <w:rsid w:val="009054A4"/>
    <w:rsid w:val="00951D1B"/>
    <w:rsid w:val="00A91C9A"/>
    <w:rsid w:val="00A97F8D"/>
    <w:rsid w:val="00C05140"/>
    <w:rsid w:val="00C37EA3"/>
    <w:rsid w:val="00C71B64"/>
    <w:rsid w:val="00E1028B"/>
    <w:rsid w:val="00EC2729"/>
    <w:rsid w:val="00F4139B"/>
    <w:rsid w:val="00F57AA4"/>
    <w:rsid w:val="00F825D0"/>
    <w:rsid w:val="00F90CE3"/>
    <w:rsid w:val="00FD69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A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C37EA3"/>
  </w:style>
  <w:style w:type="character" w:customStyle="1" w:styleId="apple-tab-span">
    <w:name w:val="apple-tab-span"/>
    <w:basedOn w:val="VarsaylanParagrafYazTipi"/>
    <w:rsid w:val="00C37EA3"/>
  </w:style>
  <w:style w:type="paragraph" w:styleId="ListeParagraf">
    <w:name w:val="List Paragraph"/>
    <w:basedOn w:val="Normal"/>
    <w:uiPriority w:val="34"/>
    <w:qFormat/>
    <w:rsid w:val="00083C7F"/>
    <w:pPr>
      <w:ind w:left="720"/>
      <w:contextualSpacing/>
    </w:pPr>
  </w:style>
  <w:style w:type="table" w:styleId="TabloKlavuzu">
    <w:name w:val="Table Grid"/>
    <w:basedOn w:val="NormalTablo"/>
    <w:uiPriority w:val="59"/>
    <w:rsid w:val="0019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VarsaylanParagrafYazTipi"/>
    <w:rsid w:val="00A97F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A3"/>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7EA3"/>
  </w:style>
  <w:style w:type="character" w:customStyle="1" w:styleId="apple-tab-span">
    <w:name w:val="apple-tab-span"/>
    <w:basedOn w:val="DefaultParagraphFont"/>
    <w:rsid w:val="00C37EA3"/>
  </w:style>
  <w:style w:type="paragraph" w:styleId="ListParagraph">
    <w:name w:val="List Paragraph"/>
    <w:basedOn w:val="Normal"/>
    <w:uiPriority w:val="34"/>
    <w:qFormat/>
    <w:rsid w:val="00083C7F"/>
    <w:pPr>
      <w:ind w:left="720"/>
      <w:contextualSpacing/>
    </w:pPr>
  </w:style>
</w:styles>
</file>

<file path=word/webSettings.xml><?xml version="1.0" encoding="utf-8"?>
<w:webSettings xmlns:r="http://schemas.openxmlformats.org/officeDocument/2006/relationships" xmlns:w="http://schemas.openxmlformats.org/wordprocessingml/2006/main">
  <w:divs>
    <w:div w:id="2065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TDUB</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tkemlak</cp:lastModifiedBy>
  <cp:revision>2</cp:revision>
  <cp:lastPrinted>2012-04-09T07:47:00Z</cp:lastPrinted>
  <dcterms:created xsi:type="dcterms:W3CDTF">2012-05-30T09:15:00Z</dcterms:created>
  <dcterms:modified xsi:type="dcterms:W3CDTF">2012-05-30T09:15:00Z</dcterms:modified>
</cp:coreProperties>
</file>