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3F" w:rsidRDefault="00A84A3F">
      <w:pPr>
        <w:pStyle w:val="Gvdemetni20"/>
        <w:shd w:val="clear" w:color="auto" w:fill="auto"/>
        <w:ind w:left="40"/>
      </w:pPr>
      <w:r>
        <w:t>T.C. DÜZCE İLİ GÜMÜŞOVA İLÇESİ BELEDİYE BAŞKANLIĞI YER SATIŞ İLANI</w:t>
      </w:r>
    </w:p>
    <w:p w:rsidR="00A84A3F" w:rsidRDefault="00A84A3F">
      <w:pPr>
        <w:pStyle w:val="Gvdemetni20"/>
        <w:shd w:val="clear" w:color="auto" w:fill="auto"/>
        <w:ind w:left="40"/>
      </w:pPr>
    </w:p>
    <w:p w:rsidR="004C4548" w:rsidRDefault="001539A5">
      <w:pPr>
        <w:pStyle w:val="Gvdemetni20"/>
        <w:shd w:val="clear" w:color="auto" w:fill="auto"/>
        <w:ind w:left="40"/>
      </w:pPr>
      <w:r>
        <w:t>İhale No: 2012/357</w:t>
      </w:r>
    </w:p>
    <w:p w:rsidR="004C4548" w:rsidRDefault="001539A5">
      <w:pPr>
        <w:pStyle w:val="Gvdemetni0"/>
        <w:numPr>
          <w:ilvl w:val="0"/>
          <w:numId w:val="1"/>
        </w:numPr>
        <w:shd w:val="clear" w:color="auto" w:fill="auto"/>
        <w:tabs>
          <w:tab w:val="left" w:pos="242"/>
        </w:tabs>
        <w:ind w:left="40" w:right="260"/>
      </w:pPr>
      <w:r>
        <w:t>Düzce ili Gümüşova İlçesi Belediye Meclisinin 07.12.2011 tarih ve 2011/54 sayılı kararı ile aşağıdaki listede bilgileri mevcut taşınmazın satışı 2886 sayılı Devlet ihale Kanununun 45.</w:t>
      </w:r>
      <w:proofErr w:type="spellStart"/>
      <w:r>
        <w:t>nci</w:t>
      </w:r>
      <w:proofErr w:type="spellEnd"/>
      <w:r>
        <w:t xml:space="preserve"> maddesine (açık teklif usulüne) göre yapılacaktır.</w:t>
      </w:r>
    </w:p>
    <w:p w:rsidR="004C4548" w:rsidRDefault="001539A5">
      <w:pPr>
        <w:pStyle w:val="Gvdemetni0"/>
        <w:numPr>
          <w:ilvl w:val="0"/>
          <w:numId w:val="1"/>
        </w:numPr>
        <w:shd w:val="clear" w:color="auto" w:fill="auto"/>
        <w:tabs>
          <w:tab w:val="left" w:pos="227"/>
        </w:tabs>
        <w:ind w:left="40" w:right="260"/>
      </w:pPr>
      <w:r>
        <w:t>İhale, Belediye Encümeni huzurunda 28.06.2012 Perşembe günü saat 11:00"de Yeni Mahalle Hürriyet Caddesi No: 166 Gü</w:t>
      </w:r>
      <w:r>
        <w:softHyphen/>
        <w:t>müşova Belediyesi Encümen toplantı salonunda yapılacaktır, isteklilerin belirtilen gün ve saatte hazır bulunmaları gerekir.</w:t>
      </w:r>
    </w:p>
    <w:p w:rsidR="004C4548" w:rsidRDefault="001539A5">
      <w:pPr>
        <w:pStyle w:val="Gvdemetni0"/>
        <w:numPr>
          <w:ilvl w:val="0"/>
          <w:numId w:val="1"/>
        </w:numPr>
        <w:shd w:val="clear" w:color="auto" w:fill="auto"/>
        <w:tabs>
          <w:tab w:val="left" w:pos="232"/>
        </w:tabs>
        <w:spacing w:after="24"/>
        <w:ind w:left="40"/>
      </w:pPr>
      <w:r>
        <w:t>Satılacak taşınmaz listesi;</w:t>
      </w:r>
    </w:p>
    <w:tbl>
      <w:tblPr>
        <w:tblOverlap w:val="never"/>
        <w:tblW w:w="0" w:type="auto"/>
        <w:jc w:val="center"/>
        <w:tblLayout w:type="fixed"/>
        <w:tblCellMar>
          <w:left w:w="10" w:type="dxa"/>
          <w:right w:w="10" w:type="dxa"/>
        </w:tblCellMar>
        <w:tblLook w:val="04A0"/>
      </w:tblPr>
      <w:tblGrid>
        <w:gridCol w:w="394"/>
        <w:gridCol w:w="1253"/>
        <w:gridCol w:w="1613"/>
        <w:gridCol w:w="648"/>
        <w:gridCol w:w="1286"/>
        <w:gridCol w:w="1162"/>
        <w:gridCol w:w="1133"/>
        <w:gridCol w:w="1027"/>
      </w:tblGrid>
      <w:tr w:rsidR="004C4548">
        <w:trPr>
          <w:trHeight w:hRule="exact" w:val="547"/>
          <w:jc w:val="center"/>
        </w:trPr>
        <w:tc>
          <w:tcPr>
            <w:tcW w:w="394" w:type="dxa"/>
            <w:shd w:val="clear" w:color="auto" w:fill="FFFFFF"/>
          </w:tcPr>
          <w:p w:rsidR="004C4548" w:rsidRDefault="001539A5">
            <w:pPr>
              <w:pStyle w:val="Gvdemetni0"/>
              <w:framePr w:w="8515" w:wrap="notBeside" w:vAnchor="text" w:hAnchor="text" w:xAlign="center" w:y="1"/>
              <w:shd w:val="clear" w:color="auto" w:fill="auto"/>
              <w:spacing w:line="160" w:lineRule="exact"/>
              <w:ind w:left="40"/>
              <w:jc w:val="left"/>
            </w:pPr>
            <w:r>
              <w:rPr>
                <w:rStyle w:val="GvdemetniKaln0"/>
              </w:rPr>
              <w:t>Sıra</w:t>
            </w:r>
          </w:p>
          <w:p w:rsidR="004C4548" w:rsidRDefault="001539A5">
            <w:pPr>
              <w:pStyle w:val="Gvdemetni0"/>
              <w:framePr w:w="8515" w:wrap="notBeside" w:vAnchor="text" w:hAnchor="text" w:xAlign="center" w:y="1"/>
              <w:shd w:val="clear" w:color="auto" w:fill="auto"/>
              <w:spacing w:line="160" w:lineRule="exact"/>
              <w:ind w:left="40"/>
              <w:jc w:val="left"/>
            </w:pPr>
            <w:r>
              <w:rPr>
                <w:rStyle w:val="GvdemetniKaln0"/>
              </w:rPr>
              <w:t>No</w:t>
            </w:r>
          </w:p>
        </w:tc>
        <w:tc>
          <w:tcPr>
            <w:tcW w:w="1253" w:type="dxa"/>
            <w:shd w:val="clear" w:color="auto" w:fill="FFFFFF"/>
          </w:tcPr>
          <w:p w:rsidR="004C4548" w:rsidRDefault="001539A5">
            <w:pPr>
              <w:pStyle w:val="Gvdemetni0"/>
              <w:framePr w:w="8515" w:wrap="notBeside" w:vAnchor="text" w:hAnchor="text" w:xAlign="center" w:y="1"/>
              <w:shd w:val="clear" w:color="auto" w:fill="auto"/>
              <w:spacing w:line="160" w:lineRule="exact"/>
              <w:ind w:left="80"/>
              <w:jc w:val="left"/>
            </w:pPr>
            <w:r>
              <w:rPr>
                <w:rStyle w:val="GvdemetniKaln0"/>
              </w:rPr>
              <w:t>Mahallesi-</w:t>
            </w:r>
          </w:p>
          <w:p w:rsidR="004C4548" w:rsidRDefault="001539A5">
            <w:pPr>
              <w:pStyle w:val="Gvdemetni0"/>
              <w:framePr w:w="8515" w:wrap="notBeside" w:vAnchor="text" w:hAnchor="text" w:xAlign="center" w:y="1"/>
              <w:shd w:val="clear" w:color="auto" w:fill="auto"/>
              <w:spacing w:line="160" w:lineRule="exact"/>
              <w:ind w:left="80"/>
              <w:jc w:val="left"/>
            </w:pPr>
            <w:r>
              <w:rPr>
                <w:rStyle w:val="GvdemetniKaln0"/>
              </w:rPr>
              <w:t>Köyü</w:t>
            </w:r>
          </w:p>
        </w:tc>
        <w:tc>
          <w:tcPr>
            <w:tcW w:w="1613" w:type="dxa"/>
            <w:shd w:val="clear" w:color="auto" w:fill="FFFFFF"/>
          </w:tcPr>
          <w:p w:rsidR="004C4548" w:rsidRDefault="001539A5">
            <w:pPr>
              <w:pStyle w:val="Gvdemetni0"/>
              <w:framePr w:w="8515" w:wrap="notBeside" w:vAnchor="text" w:hAnchor="text" w:xAlign="center" w:y="1"/>
              <w:shd w:val="clear" w:color="auto" w:fill="auto"/>
              <w:spacing w:line="160" w:lineRule="exact"/>
              <w:ind w:left="140"/>
              <w:jc w:val="left"/>
            </w:pPr>
            <w:r>
              <w:rPr>
                <w:rStyle w:val="GvdemetniKaln0"/>
              </w:rPr>
              <w:t>Pafta</w:t>
            </w:r>
          </w:p>
        </w:tc>
        <w:tc>
          <w:tcPr>
            <w:tcW w:w="648" w:type="dxa"/>
            <w:shd w:val="clear" w:color="auto" w:fill="FFFFFF"/>
          </w:tcPr>
          <w:p w:rsidR="004C4548" w:rsidRDefault="001539A5">
            <w:pPr>
              <w:pStyle w:val="Gvdemetni0"/>
              <w:framePr w:w="8515" w:wrap="notBeside" w:vAnchor="text" w:hAnchor="text" w:xAlign="center" w:y="1"/>
              <w:shd w:val="clear" w:color="auto" w:fill="auto"/>
              <w:spacing w:line="187" w:lineRule="exact"/>
            </w:pPr>
            <w:r>
              <w:rPr>
                <w:rStyle w:val="GvdemetniKaln0"/>
              </w:rPr>
              <w:t>Ada - Parsel</w:t>
            </w:r>
          </w:p>
        </w:tc>
        <w:tc>
          <w:tcPr>
            <w:tcW w:w="1286" w:type="dxa"/>
            <w:shd w:val="clear" w:color="auto" w:fill="FFFFFF"/>
          </w:tcPr>
          <w:p w:rsidR="004C4548" w:rsidRDefault="001539A5">
            <w:pPr>
              <w:pStyle w:val="Gvdemetni0"/>
              <w:framePr w:w="8515" w:wrap="notBeside" w:vAnchor="text" w:hAnchor="text" w:xAlign="center" w:y="1"/>
              <w:shd w:val="clear" w:color="auto" w:fill="auto"/>
              <w:jc w:val="center"/>
            </w:pPr>
            <w:r>
              <w:rPr>
                <w:rStyle w:val="GvdemetniKaln0"/>
              </w:rPr>
              <w:t>Parselin</w:t>
            </w:r>
          </w:p>
          <w:p w:rsidR="004C4548" w:rsidRDefault="001539A5">
            <w:pPr>
              <w:pStyle w:val="Gvdemetni0"/>
              <w:framePr w:w="8515" w:wrap="notBeside" w:vAnchor="text" w:hAnchor="text" w:xAlign="center" w:y="1"/>
              <w:shd w:val="clear" w:color="auto" w:fill="auto"/>
              <w:jc w:val="center"/>
            </w:pPr>
            <w:proofErr w:type="gramStart"/>
            <w:r>
              <w:rPr>
                <w:rStyle w:val="GvdemetniKaln0"/>
              </w:rPr>
              <w:t>kullanım</w:t>
            </w:r>
            <w:proofErr w:type="gramEnd"/>
          </w:p>
          <w:p w:rsidR="004C4548" w:rsidRDefault="001539A5">
            <w:pPr>
              <w:pStyle w:val="Gvdemetni0"/>
              <w:framePr w:w="8515" w:wrap="notBeside" w:vAnchor="text" w:hAnchor="text" w:xAlign="center" w:y="1"/>
              <w:shd w:val="clear" w:color="auto" w:fill="auto"/>
              <w:jc w:val="center"/>
            </w:pPr>
            <w:proofErr w:type="gramStart"/>
            <w:r>
              <w:rPr>
                <w:rStyle w:val="GvdemetniKaln0"/>
              </w:rPr>
              <w:t>durumu</w:t>
            </w:r>
            <w:proofErr w:type="gramEnd"/>
          </w:p>
        </w:tc>
        <w:tc>
          <w:tcPr>
            <w:tcW w:w="1162" w:type="dxa"/>
            <w:shd w:val="clear" w:color="auto" w:fill="FFFFFF"/>
          </w:tcPr>
          <w:p w:rsidR="004C4548" w:rsidRDefault="001539A5">
            <w:pPr>
              <w:pStyle w:val="Gvdemetni0"/>
              <w:framePr w:w="8515" w:wrap="notBeside" w:vAnchor="text" w:hAnchor="text" w:xAlign="center" w:y="1"/>
              <w:shd w:val="clear" w:color="auto" w:fill="auto"/>
              <w:spacing w:line="187" w:lineRule="exact"/>
              <w:ind w:right="120"/>
              <w:jc w:val="right"/>
            </w:pPr>
            <w:r>
              <w:rPr>
                <w:rStyle w:val="GvdemetniKaln0"/>
              </w:rPr>
              <w:t>Yüz ölçümü (m2)</w:t>
            </w:r>
          </w:p>
        </w:tc>
        <w:tc>
          <w:tcPr>
            <w:tcW w:w="1133" w:type="dxa"/>
            <w:shd w:val="clear" w:color="auto" w:fill="FFFFFF"/>
          </w:tcPr>
          <w:p w:rsidR="004C4548" w:rsidRDefault="001539A5">
            <w:pPr>
              <w:pStyle w:val="Gvdemetni0"/>
              <w:framePr w:w="8515" w:wrap="notBeside" w:vAnchor="text" w:hAnchor="text" w:xAlign="center" w:y="1"/>
              <w:shd w:val="clear" w:color="auto" w:fill="auto"/>
              <w:ind w:firstLine="220"/>
            </w:pPr>
            <w:proofErr w:type="gramStart"/>
            <w:r>
              <w:rPr>
                <w:rStyle w:val="GvdemetniKaln0"/>
              </w:rPr>
              <w:t>Toplam muhammen bedel TL.</w:t>
            </w:r>
            <w:proofErr w:type="gramEnd"/>
          </w:p>
        </w:tc>
        <w:tc>
          <w:tcPr>
            <w:tcW w:w="1027" w:type="dxa"/>
            <w:shd w:val="clear" w:color="auto" w:fill="FFFFFF"/>
          </w:tcPr>
          <w:p w:rsidR="004C4548" w:rsidRDefault="001539A5">
            <w:pPr>
              <w:pStyle w:val="Gvdemetni0"/>
              <w:framePr w:w="8515" w:wrap="notBeside" w:vAnchor="text" w:hAnchor="text" w:xAlign="center" w:y="1"/>
              <w:shd w:val="clear" w:color="auto" w:fill="auto"/>
              <w:spacing w:line="187" w:lineRule="exact"/>
            </w:pPr>
            <w:r>
              <w:rPr>
                <w:rStyle w:val="GvdemetniKaln0"/>
              </w:rPr>
              <w:t>%3 geçici teminat TL.</w:t>
            </w:r>
          </w:p>
        </w:tc>
      </w:tr>
      <w:tr w:rsidR="004C4548">
        <w:trPr>
          <w:trHeight w:hRule="exact" w:val="197"/>
          <w:jc w:val="center"/>
        </w:trPr>
        <w:tc>
          <w:tcPr>
            <w:tcW w:w="394" w:type="dxa"/>
            <w:shd w:val="clear" w:color="auto" w:fill="FFFFFF"/>
          </w:tcPr>
          <w:p w:rsidR="004C4548" w:rsidRDefault="001539A5">
            <w:pPr>
              <w:pStyle w:val="Gvdemetni0"/>
              <w:framePr w:w="8515" w:wrap="notBeside" w:vAnchor="text" w:hAnchor="text" w:xAlign="center" w:y="1"/>
              <w:shd w:val="clear" w:color="auto" w:fill="auto"/>
              <w:spacing w:line="160" w:lineRule="exact"/>
              <w:ind w:left="40"/>
              <w:jc w:val="left"/>
            </w:pPr>
            <w:r>
              <w:rPr>
                <w:rStyle w:val="Gvdemetni1"/>
              </w:rPr>
              <w:t>1</w:t>
            </w:r>
          </w:p>
        </w:tc>
        <w:tc>
          <w:tcPr>
            <w:tcW w:w="1253" w:type="dxa"/>
            <w:shd w:val="clear" w:color="auto" w:fill="FFFFFF"/>
          </w:tcPr>
          <w:p w:rsidR="004C4548" w:rsidRDefault="001539A5">
            <w:pPr>
              <w:pStyle w:val="Gvdemetni0"/>
              <w:framePr w:w="8515" w:wrap="notBeside" w:vAnchor="text" w:hAnchor="text" w:xAlign="center" w:y="1"/>
              <w:shd w:val="clear" w:color="auto" w:fill="auto"/>
              <w:spacing w:line="160" w:lineRule="exact"/>
              <w:ind w:left="80"/>
              <w:jc w:val="left"/>
            </w:pPr>
            <w:r>
              <w:rPr>
                <w:rStyle w:val="Gvdemetni1"/>
              </w:rPr>
              <w:t>Selamlar Köyü</w:t>
            </w:r>
          </w:p>
        </w:tc>
        <w:tc>
          <w:tcPr>
            <w:tcW w:w="1613" w:type="dxa"/>
            <w:shd w:val="clear" w:color="auto" w:fill="FFFFFF"/>
          </w:tcPr>
          <w:p w:rsidR="004C4548" w:rsidRDefault="001539A5">
            <w:pPr>
              <w:pStyle w:val="Gvdemetni0"/>
              <w:framePr w:w="8515" w:wrap="notBeside" w:vAnchor="text" w:hAnchor="text" w:xAlign="center" w:y="1"/>
              <w:shd w:val="clear" w:color="auto" w:fill="auto"/>
              <w:spacing w:line="160" w:lineRule="exact"/>
              <w:ind w:left="140"/>
              <w:jc w:val="left"/>
            </w:pPr>
            <w:r>
              <w:rPr>
                <w:rStyle w:val="Gvdemetni1"/>
              </w:rPr>
              <w:t>G25B2 0A2A-1B</w:t>
            </w:r>
          </w:p>
        </w:tc>
        <w:tc>
          <w:tcPr>
            <w:tcW w:w="648" w:type="dxa"/>
            <w:shd w:val="clear" w:color="auto" w:fill="FFFFFF"/>
          </w:tcPr>
          <w:p w:rsidR="004C4548" w:rsidRDefault="001539A5">
            <w:pPr>
              <w:pStyle w:val="Gvdemetni0"/>
              <w:framePr w:w="8515" w:wrap="notBeside" w:vAnchor="text" w:hAnchor="text" w:xAlign="center" w:y="1"/>
              <w:shd w:val="clear" w:color="auto" w:fill="auto"/>
              <w:spacing w:line="160" w:lineRule="exact"/>
            </w:pPr>
            <w:r>
              <w:rPr>
                <w:rStyle w:val="Gvdemetni1"/>
              </w:rPr>
              <w:t>357-1</w:t>
            </w:r>
          </w:p>
        </w:tc>
        <w:tc>
          <w:tcPr>
            <w:tcW w:w="1286" w:type="dxa"/>
            <w:shd w:val="clear" w:color="auto" w:fill="FFFFFF"/>
          </w:tcPr>
          <w:p w:rsidR="004C4548" w:rsidRDefault="001539A5">
            <w:pPr>
              <w:pStyle w:val="Gvdemetni0"/>
              <w:framePr w:w="8515" w:wrap="notBeside" w:vAnchor="text" w:hAnchor="text" w:xAlign="center" w:y="1"/>
              <w:shd w:val="clear" w:color="auto" w:fill="auto"/>
              <w:spacing w:line="160" w:lineRule="exact"/>
              <w:jc w:val="center"/>
            </w:pPr>
            <w:r>
              <w:rPr>
                <w:rStyle w:val="Gvdemetni1"/>
              </w:rPr>
              <w:t>Sanayi Arsası</w:t>
            </w:r>
          </w:p>
        </w:tc>
        <w:tc>
          <w:tcPr>
            <w:tcW w:w="1162" w:type="dxa"/>
            <w:shd w:val="clear" w:color="auto" w:fill="FFFFFF"/>
          </w:tcPr>
          <w:p w:rsidR="004C4548" w:rsidRDefault="001539A5">
            <w:pPr>
              <w:pStyle w:val="Gvdemetni0"/>
              <w:framePr w:w="8515" w:wrap="notBeside" w:vAnchor="text" w:hAnchor="text" w:xAlign="center" w:y="1"/>
              <w:shd w:val="clear" w:color="auto" w:fill="auto"/>
              <w:spacing w:line="160" w:lineRule="exact"/>
              <w:ind w:right="120"/>
              <w:jc w:val="right"/>
            </w:pPr>
            <w:r>
              <w:rPr>
                <w:rStyle w:val="Gvdemetni1"/>
              </w:rPr>
              <w:t>42.479,86</w:t>
            </w:r>
          </w:p>
        </w:tc>
        <w:tc>
          <w:tcPr>
            <w:tcW w:w="1133" w:type="dxa"/>
            <w:shd w:val="clear" w:color="auto" w:fill="FFFFFF"/>
          </w:tcPr>
          <w:p w:rsidR="004C4548" w:rsidRDefault="001539A5">
            <w:pPr>
              <w:pStyle w:val="Gvdemetni0"/>
              <w:framePr w:w="8515" w:wrap="notBeside" w:vAnchor="text" w:hAnchor="text" w:xAlign="center" w:y="1"/>
              <w:shd w:val="clear" w:color="auto" w:fill="auto"/>
              <w:spacing w:line="160" w:lineRule="exact"/>
              <w:ind w:left="200"/>
              <w:jc w:val="left"/>
            </w:pPr>
            <w:r>
              <w:rPr>
                <w:rStyle w:val="Gvdemetni1"/>
              </w:rPr>
              <w:t>1.945.538,2</w:t>
            </w:r>
          </w:p>
        </w:tc>
        <w:tc>
          <w:tcPr>
            <w:tcW w:w="1027" w:type="dxa"/>
            <w:shd w:val="clear" w:color="auto" w:fill="FFFFFF"/>
          </w:tcPr>
          <w:p w:rsidR="004C4548" w:rsidRDefault="001539A5">
            <w:pPr>
              <w:pStyle w:val="Gvdemetni0"/>
              <w:framePr w:w="8515" w:wrap="notBeside" w:vAnchor="text" w:hAnchor="text" w:xAlign="center" w:y="1"/>
              <w:shd w:val="clear" w:color="auto" w:fill="auto"/>
              <w:spacing w:line="160" w:lineRule="exact"/>
            </w:pPr>
            <w:r>
              <w:rPr>
                <w:rStyle w:val="Gvdemetni1"/>
              </w:rPr>
              <w:t>58.366,15</w:t>
            </w:r>
          </w:p>
        </w:tc>
      </w:tr>
      <w:tr w:rsidR="004C4548">
        <w:trPr>
          <w:trHeight w:hRule="exact" w:val="182"/>
          <w:jc w:val="center"/>
        </w:trPr>
        <w:tc>
          <w:tcPr>
            <w:tcW w:w="394" w:type="dxa"/>
            <w:shd w:val="clear" w:color="auto" w:fill="FFFFFF"/>
          </w:tcPr>
          <w:p w:rsidR="004C4548" w:rsidRDefault="001539A5">
            <w:pPr>
              <w:pStyle w:val="Gvdemetni0"/>
              <w:framePr w:w="8515" w:wrap="notBeside" w:vAnchor="text" w:hAnchor="text" w:xAlign="center" w:y="1"/>
              <w:shd w:val="clear" w:color="auto" w:fill="auto"/>
              <w:spacing w:line="160" w:lineRule="exact"/>
              <w:ind w:left="40"/>
              <w:jc w:val="left"/>
            </w:pPr>
            <w:r>
              <w:rPr>
                <w:rStyle w:val="Gvdemetni1"/>
              </w:rPr>
              <w:t>2</w:t>
            </w:r>
          </w:p>
        </w:tc>
        <w:tc>
          <w:tcPr>
            <w:tcW w:w="1253" w:type="dxa"/>
            <w:shd w:val="clear" w:color="auto" w:fill="FFFFFF"/>
          </w:tcPr>
          <w:p w:rsidR="004C4548" w:rsidRDefault="001539A5">
            <w:pPr>
              <w:pStyle w:val="Gvdemetni0"/>
              <w:framePr w:w="8515" w:wrap="notBeside" w:vAnchor="text" w:hAnchor="text" w:xAlign="center" w:y="1"/>
              <w:shd w:val="clear" w:color="auto" w:fill="auto"/>
              <w:spacing w:line="160" w:lineRule="exact"/>
              <w:ind w:left="80"/>
              <w:jc w:val="left"/>
            </w:pPr>
            <w:r>
              <w:rPr>
                <w:rStyle w:val="Gvdemetni1"/>
              </w:rPr>
              <w:t>Selamlar Köyü</w:t>
            </w:r>
          </w:p>
        </w:tc>
        <w:tc>
          <w:tcPr>
            <w:tcW w:w="1613" w:type="dxa"/>
            <w:shd w:val="clear" w:color="auto" w:fill="FFFFFF"/>
          </w:tcPr>
          <w:p w:rsidR="004C4548" w:rsidRDefault="001539A5">
            <w:pPr>
              <w:pStyle w:val="Gvdemetni0"/>
              <w:framePr w:w="8515" w:wrap="notBeside" w:vAnchor="text" w:hAnchor="text" w:xAlign="center" w:y="1"/>
              <w:shd w:val="clear" w:color="auto" w:fill="auto"/>
              <w:spacing w:line="160" w:lineRule="exact"/>
              <w:ind w:left="140"/>
              <w:jc w:val="left"/>
            </w:pPr>
            <w:r>
              <w:rPr>
                <w:rStyle w:val="Gvdemetni1"/>
              </w:rPr>
              <w:t>G25B2 0A1B-2A</w:t>
            </w:r>
          </w:p>
        </w:tc>
        <w:tc>
          <w:tcPr>
            <w:tcW w:w="648" w:type="dxa"/>
            <w:shd w:val="clear" w:color="auto" w:fill="FFFFFF"/>
          </w:tcPr>
          <w:p w:rsidR="004C4548" w:rsidRDefault="001539A5">
            <w:pPr>
              <w:pStyle w:val="Gvdemetni0"/>
              <w:framePr w:w="8515" w:wrap="notBeside" w:vAnchor="text" w:hAnchor="text" w:xAlign="center" w:y="1"/>
              <w:shd w:val="clear" w:color="auto" w:fill="auto"/>
              <w:spacing w:line="160" w:lineRule="exact"/>
            </w:pPr>
            <w:r>
              <w:rPr>
                <w:rStyle w:val="Gvdemetni1"/>
              </w:rPr>
              <w:t>358-1</w:t>
            </w:r>
          </w:p>
        </w:tc>
        <w:tc>
          <w:tcPr>
            <w:tcW w:w="1286" w:type="dxa"/>
            <w:shd w:val="clear" w:color="auto" w:fill="FFFFFF"/>
          </w:tcPr>
          <w:p w:rsidR="004C4548" w:rsidRDefault="001539A5">
            <w:pPr>
              <w:pStyle w:val="Gvdemetni0"/>
              <w:framePr w:w="8515" w:wrap="notBeside" w:vAnchor="text" w:hAnchor="text" w:xAlign="center" w:y="1"/>
              <w:shd w:val="clear" w:color="auto" w:fill="auto"/>
              <w:spacing w:line="160" w:lineRule="exact"/>
              <w:jc w:val="center"/>
            </w:pPr>
            <w:r>
              <w:rPr>
                <w:rStyle w:val="Gvdemetni1"/>
              </w:rPr>
              <w:t>Sanayi Arsası</w:t>
            </w:r>
          </w:p>
        </w:tc>
        <w:tc>
          <w:tcPr>
            <w:tcW w:w="1162" w:type="dxa"/>
            <w:shd w:val="clear" w:color="auto" w:fill="FFFFFF"/>
          </w:tcPr>
          <w:p w:rsidR="004C4548" w:rsidRDefault="001539A5">
            <w:pPr>
              <w:pStyle w:val="Gvdemetni0"/>
              <w:framePr w:w="8515" w:wrap="notBeside" w:vAnchor="text" w:hAnchor="text" w:xAlign="center" w:y="1"/>
              <w:shd w:val="clear" w:color="auto" w:fill="auto"/>
              <w:spacing w:line="160" w:lineRule="exact"/>
              <w:ind w:right="120"/>
              <w:jc w:val="right"/>
            </w:pPr>
            <w:r>
              <w:rPr>
                <w:rStyle w:val="Gvdemetni1"/>
              </w:rPr>
              <w:t>30.769,94</w:t>
            </w:r>
          </w:p>
        </w:tc>
        <w:tc>
          <w:tcPr>
            <w:tcW w:w="1133" w:type="dxa"/>
            <w:shd w:val="clear" w:color="auto" w:fill="FFFFFF"/>
          </w:tcPr>
          <w:p w:rsidR="004C4548" w:rsidRDefault="001539A5">
            <w:pPr>
              <w:pStyle w:val="Gvdemetni0"/>
              <w:framePr w:w="8515" w:wrap="notBeside" w:vAnchor="text" w:hAnchor="text" w:xAlign="center" w:y="1"/>
              <w:shd w:val="clear" w:color="auto" w:fill="auto"/>
              <w:spacing w:line="160" w:lineRule="exact"/>
              <w:ind w:left="200"/>
              <w:jc w:val="left"/>
            </w:pPr>
            <w:r>
              <w:rPr>
                <w:rStyle w:val="Gvdemetni1"/>
              </w:rPr>
              <w:t>1.409.220,2</w:t>
            </w:r>
          </w:p>
        </w:tc>
        <w:tc>
          <w:tcPr>
            <w:tcW w:w="1027" w:type="dxa"/>
            <w:shd w:val="clear" w:color="auto" w:fill="FFFFFF"/>
          </w:tcPr>
          <w:p w:rsidR="004C4548" w:rsidRDefault="001539A5">
            <w:pPr>
              <w:pStyle w:val="Gvdemetni0"/>
              <w:framePr w:w="8515" w:wrap="notBeside" w:vAnchor="text" w:hAnchor="text" w:xAlign="center" w:y="1"/>
              <w:shd w:val="clear" w:color="auto" w:fill="auto"/>
              <w:spacing w:line="160" w:lineRule="exact"/>
            </w:pPr>
            <w:r>
              <w:rPr>
                <w:rStyle w:val="Gvdemetni1"/>
              </w:rPr>
              <w:t>42.276,61</w:t>
            </w:r>
          </w:p>
        </w:tc>
      </w:tr>
      <w:tr w:rsidR="004C4548">
        <w:trPr>
          <w:trHeight w:hRule="exact" w:val="211"/>
          <w:jc w:val="center"/>
        </w:trPr>
        <w:tc>
          <w:tcPr>
            <w:tcW w:w="394" w:type="dxa"/>
            <w:shd w:val="clear" w:color="auto" w:fill="FFFFFF"/>
          </w:tcPr>
          <w:p w:rsidR="004C4548" w:rsidRDefault="001539A5">
            <w:pPr>
              <w:pStyle w:val="Gvdemetni0"/>
              <w:framePr w:w="8515" w:wrap="notBeside" w:vAnchor="text" w:hAnchor="text" w:xAlign="center" w:y="1"/>
              <w:shd w:val="clear" w:color="auto" w:fill="auto"/>
              <w:spacing w:line="160" w:lineRule="exact"/>
              <w:ind w:left="40"/>
              <w:jc w:val="left"/>
            </w:pPr>
            <w:r>
              <w:rPr>
                <w:rStyle w:val="Gvdemetni1"/>
              </w:rPr>
              <w:t>3</w:t>
            </w:r>
          </w:p>
        </w:tc>
        <w:tc>
          <w:tcPr>
            <w:tcW w:w="1253" w:type="dxa"/>
            <w:shd w:val="clear" w:color="auto" w:fill="FFFFFF"/>
          </w:tcPr>
          <w:p w:rsidR="004C4548" w:rsidRDefault="001539A5">
            <w:pPr>
              <w:pStyle w:val="Gvdemetni0"/>
              <w:framePr w:w="8515" w:wrap="notBeside" w:vAnchor="text" w:hAnchor="text" w:xAlign="center" w:y="1"/>
              <w:shd w:val="clear" w:color="auto" w:fill="auto"/>
              <w:spacing w:line="160" w:lineRule="exact"/>
              <w:ind w:left="80"/>
              <w:jc w:val="left"/>
            </w:pPr>
            <w:r>
              <w:rPr>
                <w:rStyle w:val="Gvdemetni1"/>
              </w:rPr>
              <w:t>Selamlar Köyü</w:t>
            </w:r>
          </w:p>
        </w:tc>
        <w:tc>
          <w:tcPr>
            <w:tcW w:w="1613" w:type="dxa"/>
            <w:shd w:val="clear" w:color="auto" w:fill="FFFFFF"/>
          </w:tcPr>
          <w:p w:rsidR="004C4548" w:rsidRDefault="001539A5">
            <w:pPr>
              <w:pStyle w:val="Gvdemetni0"/>
              <w:framePr w:w="8515" w:wrap="notBeside" w:vAnchor="text" w:hAnchor="text" w:xAlign="center" w:y="1"/>
              <w:shd w:val="clear" w:color="auto" w:fill="auto"/>
              <w:spacing w:line="160" w:lineRule="exact"/>
              <w:ind w:left="140"/>
              <w:jc w:val="left"/>
            </w:pPr>
            <w:r>
              <w:rPr>
                <w:rStyle w:val="Gvdemetni1"/>
              </w:rPr>
              <w:t>G2515 D4C/20 A1B</w:t>
            </w:r>
          </w:p>
        </w:tc>
        <w:tc>
          <w:tcPr>
            <w:tcW w:w="648" w:type="dxa"/>
            <w:shd w:val="clear" w:color="auto" w:fill="FFFFFF"/>
          </w:tcPr>
          <w:p w:rsidR="004C4548" w:rsidRDefault="001539A5">
            <w:pPr>
              <w:pStyle w:val="Gvdemetni0"/>
              <w:framePr w:w="8515" w:wrap="notBeside" w:vAnchor="text" w:hAnchor="text" w:xAlign="center" w:y="1"/>
              <w:shd w:val="clear" w:color="auto" w:fill="auto"/>
              <w:spacing w:line="160" w:lineRule="exact"/>
            </w:pPr>
            <w:r>
              <w:rPr>
                <w:rStyle w:val="Gvdemetni1"/>
              </w:rPr>
              <w:t>355-1</w:t>
            </w:r>
          </w:p>
        </w:tc>
        <w:tc>
          <w:tcPr>
            <w:tcW w:w="1286" w:type="dxa"/>
            <w:shd w:val="clear" w:color="auto" w:fill="FFFFFF"/>
          </w:tcPr>
          <w:p w:rsidR="004C4548" w:rsidRDefault="001539A5">
            <w:pPr>
              <w:pStyle w:val="Gvdemetni0"/>
              <w:framePr w:w="8515" w:wrap="notBeside" w:vAnchor="text" w:hAnchor="text" w:xAlign="center" w:y="1"/>
              <w:shd w:val="clear" w:color="auto" w:fill="auto"/>
              <w:spacing w:line="160" w:lineRule="exact"/>
              <w:jc w:val="center"/>
            </w:pPr>
            <w:r>
              <w:rPr>
                <w:rStyle w:val="Gvdemetni1"/>
              </w:rPr>
              <w:t>Sanayi Arsası</w:t>
            </w:r>
          </w:p>
        </w:tc>
        <w:tc>
          <w:tcPr>
            <w:tcW w:w="1162" w:type="dxa"/>
            <w:shd w:val="clear" w:color="auto" w:fill="FFFFFF"/>
          </w:tcPr>
          <w:p w:rsidR="004C4548" w:rsidRDefault="001539A5">
            <w:pPr>
              <w:pStyle w:val="Gvdemetni0"/>
              <w:framePr w:w="8515" w:wrap="notBeside" w:vAnchor="text" w:hAnchor="text" w:xAlign="center" w:y="1"/>
              <w:shd w:val="clear" w:color="auto" w:fill="auto"/>
              <w:spacing w:line="160" w:lineRule="exact"/>
              <w:ind w:right="120"/>
              <w:jc w:val="right"/>
            </w:pPr>
            <w:r>
              <w:rPr>
                <w:rStyle w:val="Gvdemetni1"/>
              </w:rPr>
              <w:t>18.322,05</w:t>
            </w:r>
          </w:p>
        </w:tc>
        <w:tc>
          <w:tcPr>
            <w:tcW w:w="1133" w:type="dxa"/>
            <w:shd w:val="clear" w:color="auto" w:fill="FFFFFF"/>
          </w:tcPr>
          <w:p w:rsidR="004C4548" w:rsidRDefault="001539A5">
            <w:pPr>
              <w:pStyle w:val="Gvdemetni0"/>
              <w:framePr w:w="8515" w:wrap="notBeside" w:vAnchor="text" w:hAnchor="text" w:xAlign="center" w:y="1"/>
              <w:shd w:val="clear" w:color="auto" w:fill="auto"/>
              <w:spacing w:line="160" w:lineRule="exact"/>
              <w:ind w:right="140"/>
              <w:jc w:val="right"/>
            </w:pPr>
            <w:r>
              <w:rPr>
                <w:rStyle w:val="Gvdemetni1"/>
              </w:rPr>
              <w:t>839.605,6</w:t>
            </w:r>
          </w:p>
        </w:tc>
        <w:tc>
          <w:tcPr>
            <w:tcW w:w="1027" w:type="dxa"/>
            <w:shd w:val="clear" w:color="auto" w:fill="FFFFFF"/>
          </w:tcPr>
          <w:p w:rsidR="004C4548" w:rsidRDefault="001539A5">
            <w:pPr>
              <w:pStyle w:val="Gvdemetni0"/>
              <w:framePr w:w="8515" w:wrap="notBeside" w:vAnchor="text" w:hAnchor="text" w:xAlign="center" w:y="1"/>
              <w:shd w:val="clear" w:color="auto" w:fill="auto"/>
              <w:spacing w:line="160" w:lineRule="exact"/>
            </w:pPr>
            <w:r>
              <w:rPr>
                <w:rStyle w:val="Gvdemetni1"/>
              </w:rPr>
              <w:t>25.188,17</w:t>
            </w:r>
          </w:p>
        </w:tc>
      </w:tr>
    </w:tbl>
    <w:p w:rsidR="004C4548" w:rsidRDefault="004C4548">
      <w:pPr>
        <w:rPr>
          <w:sz w:val="2"/>
          <w:szCs w:val="2"/>
        </w:rPr>
      </w:pPr>
    </w:p>
    <w:p w:rsidR="004C4548" w:rsidRDefault="001539A5">
      <w:pPr>
        <w:pStyle w:val="Gvdemetni0"/>
        <w:numPr>
          <w:ilvl w:val="0"/>
          <w:numId w:val="1"/>
        </w:numPr>
        <w:shd w:val="clear" w:color="auto" w:fill="auto"/>
        <w:tabs>
          <w:tab w:val="left" w:pos="227"/>
        </w:tabs>
        <w:spacing w:before="39"/>
        <w:ind w:left="40" w:right="260"/>
      </w:pPr>
      <w:r>
        <w:t xml:space="preserve">Taşınmaz malların tahmin edilen (Muhammen) bedelleri yukarıda belirtilmiştir. Geçici teminat miktarı belirtilen arsa için bedelin %3 (yüzde üç)ü kadardır. İhaleye katılmak isteyenler geçici teminatını 28.06.2012 Perşembe günü saat </w:t>
      </w:r>
      <w:proofErr w:type="gramStart"/>
      <w:r>
        <w:t>11:00'e</w:t>
      </w:r>
      <w:proofErr w:type="gramEnd"/>
      <w:r>
        <w:t xml:space="preserve"> kadar banka teminat mektubu veya nakit olarak Belediyemiz veznelerine yatırılması gerekmektedir. Satışa konu gayri- </w:t>
      </w:r>
      <w:proofErr w:type="spellStart"/>
      <w:r>
        <w:t>menkulierden</w:t>
      </w:r>
      <w:proofErr w:type="spellEnd"/>
      <w:r>
        <w:t xml:space="preserve"> birine teklif verilebileceği gibi ayrı </w:t>
      </w:r>
      <w:proofErr w:type="spellStart"/>
      <w:r>
        <w:t>ayrı</w:t>
      </w:r>
      <w:proofErr w:type="spellEnd"/>
      <w:r>
        <w:t xml:space="preserve"> olmak koşuluyla birden fazla gayrimenkul için de teklif verilebilir. Ve</w:t>
      </w:r>
      <w:r>
        <w:softHyphen/>
        <w:t xml:space="preserve">rilen teklifler herhangi bir şar içeremeyeceği gibi birden fazla teklif verilmesi halinde bu teklifler </w:t>
      </w:r>
      <w:proofErr w:type="spellStart"/>
      <w:r>
        <w:t>birbiriyie</w:t>
      </w:r>
      <w:proofErr w:type="spellEnd"/>
      <w:r>
        <w:t xml:space="preserve"> ilişkilendirilemez.</w:t>
      </w:r>
    </w:p>
    <w:p w:rsidR="004C4548" w:rsidRDefault="001539A5">
      <w:pPr>
        <w:pStyle w:val="Gvdemetni0"/>
        <w:numPr>
          <w:ilvl w:val="0"/>
          <w:numId w:val="1"/>
        </w:numPr>
        <w:shd w:val="clear" w:color="auto" w:fill="auto"/>
        <w:tabs>
          <w:tab w:val="left" w:pos="237"/>
        </w:tabs>
        <w:ind w:left="40"/>
      </w:pPr>
      <w:r>
        <w:t>İhaleye katılmak isteyen isteklilerden aranacak belgeler;</w:t>
      </w:r>
    </w:p>
    <w:p w:rsidR="004C4548" w:rsidRDefault="001539A5">
      <w:pPr>
        <w:pStyle w:val="Gvdemetni0"/>
        <w:numPr>
          <w:ilvl w:val="1"/>
          <w:numId w:val="1"/>
        </w:numPr>
        <w:shd w:val="clear" w:color="auto" w:fill="auto"/>
        <w:tabs>
          <w:tab w:val="left" w:pos="371"/>
        </w:tabs>
        <w:ind w:left="40"/>
      </w:pPr>
      <w:proofErr w:type="gramStart"/>
      <w:r>
        <w:t>Kanuni ikametgâh sahibi olması.</w:t>
      </w:r>
      <w:proofErr w:type="gramEnd"/>
    </w:p>
    <w:p w:rsidR="004C4548" w:rsidRDefault="001539A5">
      <w:pPr>
        <w:pStyle w:val="Gvdemetni0"/>
        <w:numPr>
          <w:ilvl w:val="1"/>
          <w:numId w:val="1"/>
        </w:numPr>
        <w:shd w:val="clear" w:color="auto" w:fill="auto"/>
        <w:tabs>
          <w:tab w:val="left" w:pos="371"/>
        </w:tabs>
        <w:ind w:left="40"/>
      </w:pPr>
      <w:r>
        <w:t>Mevzuatı gereği kayıtlı olduğu Ticaret ve/veya Sanayi odası belgesi,</w:t>
      </w:r>
    </w:p>
    <w:p w:rsidR="004C4548" w:rsidRDefault="001539A5">
      <w:pPr>
        <w:pStyle w:val="Gvdemetni0"/>
        <w:numPr>
          <w:ilvl w:val="2"/>
          <w:numId w:val="1"/>
        </w:numPr>
        <w:shd w:val="clear" w:color="auto" w:fill="auto"/>
        <w:tabs>
          <w:tab w:val="left" w:pos="506"/>
        </w:tabs>
        <w:ind w:left="40"/>
      </w:pPr>
      <w:r>
        <w:t xml:space="preserve">Gerçek kişi olması halinde ikametgâh, nüfus sureti ve T.C.kimlik </w:t>
      </w:r>
      <w:proofErr w:type="spellStart"/>
      <w:r>
        <w:t>nosu</w:t>
      </w:r>
      <w:proofErr w:type="spellEnd"/>
      <w:r>
        <w:t>.</w:t>
      </w:r>
    </w:p>
    <w:p w:rsidR="004C4548" w:rsidRDefault="001539A5">
      <w:pPr>
        <w:pStyle w:val="Gvdemetni0"/>
        <w:numPr>
          <w:ilvl w:val="2"/>
          <w:numId w:val="1"/>
        </w:numPr>
        <w:shd w:val="clear" w:color="auto" w:fill="auto"/>
        <w:tabs>
          <w:tab w:val="left" w:pos="506"/>
        </w:tabs>
        <w:ind w:left="40" w:right="260"/>
      </w:pPr>
      <w:r>
        <w:t>Tüzel kişi olması halinde tüzel kişiliğin idare merkezinin bulunduğu yer mahkemesinden veya siciline kayıtlı bulun</w:t>
      </w:r>
      <w:r>
        <w:softHyphen/>
        <w:t>duğu Ticaret ve Sanayi odasından veya benzeri bir makamdan ihalenin yapıldığı yıl içinde alınmış tüzel kişiliğin siciline ka</w:t>
      </w:r>
      <w:r>
        <w:softHyphen/>
        <w:t>yıtlı olduğuna dair belge.</w:t>
      </w:r>
    </w:p>
    <w:p w:rsidR="004C4548" w:rsidRDefault="001539A5">
      <w:pPr>
        <w:pStyle w:val="Gvdemetni0"/>
        <w:numPr>
          <w:ilvl w:val="1"/>
          <w:numId w:val="1"/>
        </w:numPr>
        <w:shd w:val="clear" w:color="auto" w:fill="auto"/>
        <w:tabs>
          <w:tab w:val="left" w:pos="362"/>
        </w:tabs>
        <w:ind w:left="40"/>
      </w:pPr>
      <w:r>
        <w:t>Teklif vermeye yetkili olduğunu gösteren imza beyannamesi veya imza sirküleri.</w:t>
      </w:r>
    </w:p>
    <w:p w:rsidR="004C4548" w:rsidRDefault="001539A5">
      <w:pPr>
        <w:pStyle w:val="Gvdemetni0"/>
        <w:numPr>
          <w:ilvl w:val="2"/>
          <w:numId w:val="1"/>
        </w:numPr>
        <w:shd w:val="clear" w:color="auto" w:fill="auto"/>
        <w:tabs>
          <w:tab w:val="left" w:pos="506"/>
          <w:tab w:val="left" w:pos="7912"/>
        </w:tabs>
        <w:ind w:left="40"/>
      </w:pPr>
      <w:proofErr w:type="gramStart"/>
      <w:r>
        <w:t>Gerçek kişi olması halinde noter tasdikli imza sirküleri vermesi.</w:t>
      </w:r>
      <w:proofErr w:type="gramEnd"/>
      <w:r>
        <w:tab/>
      </w:r>
    </w:p>
    <w:p w:rsidR="004C4548" w:rsidRDefault="001539A5">
      <w:pPr>
        <w:pStyle w:val="Gvdemetni0"/>
        <w:numPr>
          <w:ilvl w:val="2"/>
          <w:numId w:val="1"/>
        </w:numPr>
        <w:shd w:val="clear" w:color="auto" w:fill="auto"/>
        <w:tabs>
          <w:tab w:val="left" w:pos="491"/>
        </w:tabs>
        <w:ind w:left="40" w:right="260"/>
      </w:pPr>
      <w:r>
        <w:t>Tüzel kişi olması halinde tüzel kişiliğin noter tasdikli imza sirküleri, istekliler adına vekâleten iştirak ediliyor ise istekli adına teklifte bulunacak kimselerin vekâletnameleri ile vekâleten iştirak edenin noter tasdikli imza sirküleri vermesi.</w:t>
      </w:r>
    </w:p>
    <w:p w:rsidR="004C4548" w:rsidRDefault="001539A5">
      <w:pPr>
        <w:pStyle w:val="Gvdemetni0"/>
        <w:numPr>
          <w:ilvl w:val="1"/>
          <w:numId w:val="1"/>
        </w:numPr>
        <w:shd w:val="clear" w:color="auto" w:fill="auto"/>
        <w:tabs>
          <w:tab w:val="left" w:pos="376"/>
        </w:tabs>
        <w:ind w:left="40"/>
      </w:pPr>
      <w:proofErr w:type="gramStart"/>
      <w:r>
        <w:t>İsteklinin, ihale şartnamesini ve eklerini okuyup aynen kabul ettiğine dair beyanı.</w:t>
      </w:r>
      <w:proofErr w:type="gramEnd"/>
    </w:p>
    <w:p w:rsidR="004C4548" w:rsidRDefault="001539A5">
      <w:pPr>
        <w:pStyle w:val="Gvdemetni0"/>
        <w:numPr>
          <w:ilvl w:val="1"/>
          <w:numId w:val="1"/>
        </w:numPr>
        <w:shd w:val="clear" w:color="auto" w:fill="auto"/>
        <w:tabs>
          <w:tab w:val="left" w:pos="366"/>
        </w:tabs>
        <w:ind w:left="40" w:right="260"/>
      </w:pPr>
      <w:r>
        <w:t>2886 Sayılı Devlet İhale Kanununun 6.maddesinde yazılı kimseler ile 83.maddesinde belirtilen şahıslar gerek doğru</w:t>
      </w:r>
      <w:r>
        <w:softHyphen/>
        <w:t>dan gerekse bir vasıta ile ihaleye giremezler. Bu yasa hükümlerini ihlal ederek ihaleye girenler arttırmaya girmiş ve ihale yapılmış bulunursa geçici teminatı, mukavele yapılmış ise mukavele fesih edilerek kati teminatı irat kaydedilir.</w:t>
      </w:r>
    </w:p>
    <w:p w:rsidR="004C4548" w:rsidRDefault="001539A5">
      <w:pPr>
        <w:pStyle w:val="Gvdemetni0"/>
        <w:numPr>
          <w:ilvl w:val="0"/>
          <w:numId w:val="1"/>
        </w:numPr>
        <w:shd w:val="clear" w:color="auto" w:fill="auto"/>
        <w:tabs>
          <w:tab w:val="left" w:pos="246"/>
        </w:tabs>
        <w:ind w:left="40" w:right="260"/>
      </w:pPr>
      <w:r>
        <w:t xml:space="preserve">İhaleye ilişkin şartname ve ekleri, Belediyemiz Gelirler Servisinden </w:t>
      </w:r>
      <w:proofErr w:type="gramStart"/>
      <w:r>
        <w:t>200.00</w:t>
      </w:r>
      <w:proofErr w:type="gramEnd"/>
      <w:r>
        <w:t xml:space="preserve"> TL. </w:t>
      </w:r>
      <w:proofErr w:type="gramStart"/>
      <w:r>
        <w:t>sı</w:t>
      </w:r>
      <w:proofErr w:type="gramEnd"/>
      <w:r>
        <w:t xml:space="preserve"> karşılığında temin edilebilir. İhaleye katılacak isteklilerin, ihale şartnamesini almaları zorunludur.</w:t>
      </w:r>
    </w:p>
    <w:p w:rsidR="004C4548" w:rsidRDefault="001539A5">
      <w:pPr>
        <w:pStyle w:val="Gvdemetni0"/>
        <w:numPr>
          <w:ilvl w:val="0"/>
          <w:numId w:val="1"/>
        </w:numPr>
        <w:shd w:val="clear" w:color="auto" w:fill="auto"/>
        <w:tabs>
          <w:tab w:val="left" w:pos="246"/>
        </w:tabs>
        <w:ind w:left="40" w:right="260"/>
      </w:pPr>
      <w:r>
        <w:t xml:space="preserve">İhaleye katılmak için gerekli belgeleri kapsayan ihale dosyasını, 28.06.2012 Perşembe günü saat </w:t>
      </w:r>
      <w:proofErr w:type="gramStart"/>
      <w:r>
        <w:t>11:00’a</w:t>
      </w:r>
      <w:proofErr w:type="gramEnd"/>
      <w:r>
        <w:t xml:space="preserve"> kadar ihale komisyonuna teslim etmeleri gerekmektedir.</w:t>
      </w:r>
    </w:p>
    <w:p w:rsidR="004C4548" w:rsidRDefault="001539A5">
      <w:pPr>
        <w:pStyle w:val="Gvdemetni0"/>
        <w:numPr>
          <w:ilvl w:val="0"/>
          <w:numId w:val="2"/>
        </w:numPr>
        <w:shd w:val="clear" w:color="auto" w:fill="auto"/>
        <w:tabs>
          <w:tab w:val="left" w:pos="242"/>
        </w:tabs>
        <w:ind w:left="40"/>
      </w:pPr>
      <w:r>
        <w:t>Taşınmazların ihalesine ilişkin her türlü ilan bedeli harç, pul vs. masraflar istekliye aittir.</w:t>
      </w:r>
    </w:p>
    <w:p w:rsidR="004C4548" w:rsidRDefault="001539A5">
      <w:pPr>
        <w:pStyle w:val="Gvdemetni0"/>
        <w:numPr>
          <w:ilvl w:val="0"/>
          <w:numId w:val="2"/>
        </w:numPr>
        <w:shd w:val="clear" w:color="auto" w:fill="auto"/>
        <w:tabs>
          <w:tab w:val="left" w:pos="405"/>
        </w:tabs>
        <w:ind w:left="40"/>
      </w:pPr>
      <w:r>
        <w:rPr>
          <w:rStyle w:val="Gvdemetni3"/>
        </w:rPr>
        <w:t>:</w:t>
      </w:r>
      <w:r>
        <w:tab/>
        <w:t>Gerektiğinde ihtilafların hal mercii Cumayeri icra daireleri ve mahkemeleridir.</w:t>
      </w:r>
    </w:p>
    <w:p w:rsidR="004C4548" w:rsidRDefault="001539A5">
      <w:pPr>
        <w:pStyle w:val="Gvdemetni0"/>
        <w:numPr>
          <w:ilvl w:val="0"/>
          <w:numId w:val="2"/>
        </w:numPr>
        <w:shd w:val="clear" w:color="auto" w:fill="auto"/>
        <w:tabs>
          <w:tab w:val="left" w:pos="323"/>
        </w:tabs>
        <w:ind w:left="40"/>
      </w:pPr>
      <w:r>
        <w:t>İhale Komisyonu 2886 sayılı kanunun 29 uncu maddesi uyarınca, ihaleyi yapıp yapmamakta serbesttir.</w:t>
      </w:r>
    </w:p>
    <w:p w:rsidR="004C4548" w:rsidRDefault="001539A5">
      <w:pPr>
        <w:pStyle w:val="Gvdemetni0"/>
        <w:numPr>
          <w:ilvl w:val="0"/>
          <w:numId w:val="2"/>
        </w:numPr>
        <w:shd w:val="clear" w:color="auto" w:fill="auto"/>
        <w:tabs>
          <w:tab w:val="left" w:pos="328"/>
        </w:tabs>
        <w:ind w:left="40"/>
      </w:pPr>
      <w:r>
        <w:t>Telgraf faksla ve posta ile yapılan müracaatlar kabul edilmeyecektir.</w:t>
      </w:r>
    </w:p>
    <w:p w:rsidR="004C4548" w:rsidRDefault="001539A5">
      <w:pPr>
        <w:pStyle w:val="Gvdemetni20"/>
        <w:shd w:val="clear" w:color="auto" w:fill="auto"/>
        <w:ind w:right="260"/>
        <w:jc w:val="right"/>
      </w:pPr>
      <w:r>
        <w:t xml:space="preserve">(Basın: 37874- </w:t>
      </w:r>
      <w:hyperlink r:id="rId7" w:history="1">
        <w:r>
          <w:rPr>
            <w:rStyle w:val="Kpr"/>
            <w:lang w:val="en-US"/>
          </w:rPr>
          <w:t>www.bik.gov.tr</w:t>
        </w:r>
      </w:hyperlink>
      <w:r>
        <w:t>)</w:t>
      </w:r>
    </w:p>
    <w:p w:rsidR="004C4548" w:rsidRDefault="001539A5">
      <w:pPr>
        <w:pStyle w:val="Gvdemetni31"/>
        <w:shd w:val="clear" w:color="auto" w:fill="auto"/>
        <w:spacing w:line="200" w:lineRule="exact"/>
        <w:ind w:right="260"/>
      </w:pPr>
      <w:r>
        <w:lastRenderedPageBreak/>
        <w:t>__</w:t>
      </w:r>
    </w:p>
    <w:p w:rsidR="004C4548" w:rsidRDefault="001539A5">
      <w:pPr>
        <w:pStyle w:val="Balk10"/>
        <w:keepNext/>
        <w:keepLines/>
        <w:shd w:val="clear" w:color="auto" w:fill="000000"/>
        <w:spacing w:line="180" w:lineRule="exact"/>
        <w:ind w:left="260"/>
      </w:pPr>
      <w:bookmarkStart w:id="0" w:name="bookmark0"/>
      <w:r>
        <w:rPr>
          <w:rStyle w:val="Balk11"/>
          <w:b/>
          <w:bCs/>
        </w:rPr>
        <w:t>Resmi ilanlar www.ilan.gov.</w:t>
      </w:r>
      <w:proofErr w:type="spellStart"/>
      <w:r>
        <w:rPr>
          <w:rStyle w:val="Balk11"/>
          <w:b/>
          <w:bCs/>
        </w:rPr>
        <w:t>tr’de</w:t>
      </w:r>
      <w:proofErr w:type="spellEnd"/>
      <w:r>
        <w:rPr>
          <w:rStyle w:val="Balk11"/>
          <w:b/>
          <w:bCs/>
        </w:rPr>
        <w:t>.</w:t>
      </w:r>
      <w:bookmarkEnd w:id="0"/>
    </w:p>
    <w:sectPr w:rsidR="004C4548" w:rsidSect="004C4548">
      <w:type w:val="continuous"/>
      <w:pgSz w:w="11909" w:h="16834"/>
      <w:pgMar w:top="4311" w:right="1442" w:bottom="4301" w:left="149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B1C" w:rsidRDefault="004C6B1C" w:rsidP="004C4548">
      <w:r>
        <w:separator/>
      </w:r>
    </w:p>
  </w:endnote>
  <w:endnote w:type="continuationSeparator" w:id="0">
    <w:p w:rsidR="004C6B1C" w:rsidRDefault="004C6B1C" w:rsidP="004C454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B1C" w:rsidRDefault="004C6B1C"/>
  </w:footnote>
  <w:footnote w:type="continuationSeparator" w:id="0">
    <w:p w:rsidR="004C6B1C" w:rsidRDefault="004C6B1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D3F0F"/>
    <w:multiLevelType w:val="multilevel"/>
    <w:tmpl w:val="DBEA3DD2"/>
    <w:lvl w:ilvl="0">
      <w:start w:val="9"/>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8E26DA"/>
    <w:multiLevelType w:val="multilevel"/>
    <w:tmpl w:val="A8AAFB88"/>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tr-TR"/>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6"/>
        <w:szCs w:val="16"/>
        <w:u w:val="none"/>
        <w:lang w:val="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C4548"/>
    <w:rsid w:val="001539A5"/>
    <w:rsid w:val="004C4548"/>
    <w:rsid w:val="004C6B1C"/>
    <w:rsid w:val="00632E9B"/>
    <w:rsid w:val="00A84A3F"/>
    <w:rsid w:val="00F97C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454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C4548"/>
    <w:rPr>
      <w:color w:val="000080"/>
      <w:u w:val="single"/>
    </w:rPr>
  </w:style>
  <w:style w:type="character" w:customStyle="1" w:styleId="Gvdemetni2">
    <w:name w:val="Gövde metni (2)_"/>
    <w:basedOn w:val="VarsaylanParagrafYazTipi"/>
    <w:link w:val="Gvdemetni20"/>
    <w:rsid w:val="004C4548"/>
    <w:rPr>
      <w:rFonts w:ascii="Arial" w:eastAsia="Arial" w:hAnsi="Arial" w:cs="Arial"/>
      <w:b/>
      <w:bCs/>
      <w:i w:val="0"/>
      <w:iCs w:val="0"/>
      <w:smallCaps w:val="0"/>
      <w:strike w:val="0"/>
      <w:sz w:val="16"/>
      <w:szCs w:val="16"/>
      <w:u w:val="none"/>
    </w:rPr>
  </w:style>
  <w:style w:type="character" w:customStyle="1" w:styleId="Gvdemetni">
    <w:name w:val="Gövde metni_"/>
    <w:basedOn w:val="VarsaylanParagrafYazTipi"/>
    <w:link w:val="Gvdemetni0"/>
    <w:rsid w:val="004C4548"/>
    <w:rPr>
      <w:rFonts w:ascii="Arial" w:eastAsia="Arial" w:hAnsi="Arial" w:cs="Arial"/>
      <w:b w:val="0"/>
      <w:bCs w:val="0"/>
      <w:i w:val="0"/>
      <w:iCs w:val="0"/>
      <w:smallCaps w:val="0"/>
      <w:strike w:val="0"/>
      <w:sz w:val="16"/>
      <w:szCs w:val="16"/>
      <w:u w:val="none"/>
    </w:rPr>
  </w:style>
  <w:style w:type="character" w:customStyle="1" w:styleId="GvdemetniKaln">
    <w:name w:val="Gövde metni + Kalın"/>
    <w:basedOn w:val="Gvdemetni"/>
    <w:rsid w:val="004C4548"/>
    <w:rPr>
      <w:b/>
      <w:bCs/>
      <w:color w:val="000000"/>
      <w:spacing w:val="0"/>
      <w:w w:val="100"/>
      <w:position w:val="0"/>
      <w:lang w:val="tr-TR"/>
    </w:rPr>
  </w:style>
  <w:style w:type="character" w:customStyle="1" w:styleId="GvdemetniKaln0">
    <w:name w:val="Gövde metni + Kalın"/>
    <w:basedOn w:val="Gvdemetni"/>
    <w:rsid w:val="004C4548"/>
    <w:rPr>
      <w:b/>
      <w:bCs/>
      <w:color w:val="000000"/>
      <w:spacing w:val="0"/>
      <w:w w:val="100"/>
      <w:position w:val="0"/>
      <w:lang w:val="tr-TR"/>
    </w:rPr>
  </w:style>
  <w:style w:type="character" w:customStyle="1" w:styleId="Gvdemetni1">
    <w:name w:val="Gövde metni"/>
    <w:basedOn w:val="Gvdemetni"/>
    <w:rsid w:val="004C4548"/>
    <w:rPr>
      <w:color w:val="000000"/>
      <w:spacing w:val="0"/>
      <w:w w:val="100"/>
      <w:position w:val="0"/>
      <w:lang w:val="tr-TR"/>
    </w:rPr>
  </w:style>
  <w:style w:type="character" w:customStyle="1" w:styleId="GvdemetniKalntalik">
    <w:name w:val="Gövde metni + Kalın;İtalik"/>
    <w:basedOn w:val="Gvdemetni"/>
    <w:rsid w:val="004C4548"/>
    <w:rPr>
      <w:b/>
      <w:bCs/>
      <w:i/>
      <w:iCs/>
      <w:color w:val="000000"/>
      <w:spacing w:val="0"/>
      <w:w w:val="100"/>
      <w:position w:val="0"/>
      <w:lang w:val="tr-TR"/>
    </w:rPr>
  </w:style>
  <w:style w:type="character" w:customStyle="1" w:styleId="Gvdemetni3">
    <w:name w:val="Gövde metni"/>
    <w:basedOn w:val="Gvdemetni"/>
    <w:rsid w:val="004C4548"/>
    <w:rPr>
      <w:color w:val="000000"/>
      <w:spacing w:val="0"/>
      <w:w w:val="100"/>
      <w:position w:val="0"/>
      <w:lang w:val="tr-TR"/>
    </w:rPr>
  </w:style>
  <w:style w:type="character" w:customStyle="1" w:styleId="Gvdemetni30">
    <w:name w:val="Gövde metni (3)_"/>
    <w:basedOn w:val="VarsaylanParagrafYazTipi"/>
    <w:link w:val="Gvdemetni31"/>
    <w:rsid w:val="004C4548"/>
    <w:rPr>
      <w:rFonts w:ascii="Arial" w:eastAsia="Arial" w:hAnsi="Arial" w:cs="Arial"/>
      <w:b w:val="0"/>
      <w:bCs w:val="0"/>
      <w:i w:val="0"/>
      <w:iCs w:val="0"/>
      <w:smallCaps w:val="0"/>
      <w:strike w:val="0"/>
      <w:sz w:val="20"/>
      <w:szCs w:val="20"/>
      <w:u w:val="none"/>
    </w:rPr>
  </w:style>
  <w:style w:type="character" w:customStyle="1" w:styleId="Balk1">
    <w:name w:val="Başlık #1_"/>
    <w:basedOn w:val="VarsaylanParagrafYazTipi"/>
    <w:link w:val="Balk10"/>
    <w:rsid w:val="004C4548"/>
    <w:rPr>
      <w:rFonts w:ascii="Arial" w:eastAsia="Arial" w:hAnsi="Arial" w:cs="Arial"/>
      <w:b/>
      <w:bCs/>
      <w:i w:val="0"/>
      <w:iCs w:val="0"/>
      <w:smallCaps w:val="0"/>
      <w:strike w:val="0"/>
      <w:sz w:val="18"/>
      <w:szCs w:val="18"/>
      <w:u w:val="none"/>
    </w:rPr>
  </w:style>
  <w:style w:type="character" w:customStyle="1" w:styleId="Balk11">
    <w:name w:val="Başlık #1"/>
    <w:basedOn w:val="Balk1"/>
    <w:rsid w:val="004C4548"/>
    <w:rPr>
      <w:color w:val="FFFFFF"/>
      <w:spacing w:val="0"/>
      <w:w w:val="100"/>
      <w:position w:val="0"/>
      <w:lang w:val="tr-TR"/>
    </w:rPr>
  </w:style>
  <w:style w:type="paragraph" w:customStyle="1" w:styleId="Gvdemetni20">
    <w:name w:val="Gövde metni (2)"/>
    <w:basedOn w:val="Normal"/>
    <w:link w:val="Gvdemetni2"/>
    <w:rsid w:val="004C4548"/>
    <w:pPr>
      <w:shd w:val="clear" w:color="auto" w:fill="FFFFFF"/>
      <w:spacing w:line="182" w:lineRule="exact"/>
      <w:jc w:val="both"/>
    </w:pPr>
    <w:rPr>
      <w:rFonts w:ascii="Arial" w:eastAsia="Arial" w:hAnsi="Arial" w:cs="Arial"/>
      <w:b/>
      <w:bCs/>
      <w:sz w:val="16"/>
      <w:szCs w:val="16"/>
    </w:rPr>
  </w:style>
  <w:style w:type="paragraph" w:customStyle="1" w:styleId="Gvdemetni0">
    <w:name w:val="Gövde metni"/>
    <w:basedOn w:val="Normal"/>
    <w:link w:val="Gvdemetni"/>
    <w:rsid w:val="004C4548"/>
    <w:pPr>
      <w:shd w:val="clear" w:color="auto" w:fill="FFFFFF"/>
      <w:spacing w:line="182" w:lineRule="exact"/>
      <w:jc w:val="both"/>
    </w:pPr>
    <w:rPr>
      <w:rFonts w:ascii="Arial" w:eastAsia="Arial" w:hAnsi="Arial" w:cs="Arial"/>
      <w:sz w:val="16"/>
      <w:szCs w:val="16"/>
    </w:rPr>
  </w:style>
  <w:style w:type="paragraph" w:customStyle="1" w:styleId="Gvdemetni31">
    <w:name w:val="Gövde metni (3)"/>
    <w:basedOn w:val="Normal"/>
    <w:link w:val="Gvdemetni30"/>
    <w:rsid w:val="004C4548"/>
    <w:pPr>
      <w:shd w:val="clear" w:color="auto" w:fill="FFFFFF"/>
      <w:spacing w:line="0" w:lineRule="atLeast"/>
      <w:jc w:val="right"/>
    </w:pPr>
    <w:rPr>
      <w:rFonts w:ascii="Arial" w:eastAsia="Arial" w:hAnsi="Arial" w:cs="Arial"/>
      <w:sz w:val="20"/>
      <w:szCs w:val="20"/>
    </w:rPr>
  </w:style>
  <w:style w:type="paragraph" w:customStyle="1" w:styleId="Balk10">
    <w:name w:val="Başlık #1"/>
    <w:basedOn w:val="Normal"/>
    <w:link w:val="Balk1"/>
    <w:rsid w:val="004C4548"/>
    <w:pPr>
      <w:shd w:val="clear" w:color="auto" w:fill="FFFFFF"/>
      <w:spacing w:line="0" w:lineRule="atLeast"/>
      <w:jc w:val="center"/>
      <w:outlineLvl w:val="0"/>
    </w:pPr>
    <w:rPr>
      <w:rFonts w:ascii="Arial" w:eastAsia="Arial" w:hAnsi="Arial" w:cs="Arial"/>
      <w:b/>
      <w:bCs/>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2012-06-16T14:04:00Z</dcterms:created>
  <dcterms:modified xsi:type="dcterms:W3CDTF">2012-06-16T14:04:00Z</dcterms:modified>
</cp:coreProperties>
</file>