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45" w:rsidRDefault="006B4CEA">
      <w:pPr>
        <w:pStyle w:val="Balk10"/>
        <w:framePr w:w="5602" w:h="499" w:hRule="exact" w:wrap="none" w:vAnchor="page" w:hAnchor="page" w:x="1369" w:y="1956"/>
        <w:shd w:val="clear" w:color="auto" w:fill="auto"/>
        <w:spacing w:after="0"/>
        <w:ind w:right="120"/>
      </w:pPr>
      <w:bookmarkStart w:id="0" w:name="bookmark0"/>
      <w:r>
        <w:t>T.C YEŞİLHİSAR / KAYSERİ İCRA DAİRESİ 2012/2 TLMT.</w:t>
      </w:r>
      <w:bookmarkEnd w:id="0"/>
    </w:p>
    <w:p w:rsidR="00BC3C45" w:rsidRDefault="006B4CEA">
      <w:pPr>
        <w:pStyle w:val="Gvdemetni0"/>
        <w:framePr w:w="5602" w:h="398" w:hRule="exact" w:wrap="none" w:vAnchor="page" w:hAnchor="page" w:x="1369" w:y="2595"/>
        <w:shd w:val="clear" w:color="auto" w:fill="auto"/>
        <w:spacing w:before="0" w:after="0"/>
        <w:ind w:right="120"/>
      </w:pPr>
      <w:r>
        <w:t>TAŞINMAZ AÇIK ARTIRMA İLANI Satılmasına Karar Verilen Taşınmazın Cinsi, Kıymeti, Adedi Evsafı:</w:t>
      </w:r>
    </w:p>
    <w:p w:rsidR="00BC3C45" w:rsidRDefault="006B4CEA">
      <w:pPr>
        <w:pStyle w:val="Gvdemetni0"/>
        <w:framePr w:w="5602" w:h="534" w:hRule="exact" w:wrap="none" w:vAnchor="page" w:hAnchor="page" w:x="1369" w:y="3115"/>
        <w:shd w:val="clear" w:color="auto" w:fill="auto"/>
        <w:spacing w:before="0" w:after="0" w:line="158" w:lineRule="exact"/>
        <w:ind w:right="220"/>
        <w:jc w:val="left"/>
      </w:pPr>
      <w:r>
        <w:t xml:space="preserve">Taşınmazın </w:t>
      </w:r>
      <w:proofErr w:type="gramStart"/>
      <w:r>
        <w:t>Bilgileri : Kayseri</w:t>
      </w:r>
      <w:proofErr w:type="gramEnd"/>
      <w:r>
        <w:t xml:space="preserve"> ili Yeşilhisar ilçesi, KILCAN MAH.ÇAKİLIAR MEVKİİ, 208 ada 60 parsel sayılı, </w:t>
      </w:r>
      <w:r>
        <w:t>167.1501112 miktarında tarla vasfında taşınmaz Takdir Olunan Kıymeti :1.002.900,00TL.</w:t>
      </w:r>
    </w:p>
    <w:p w:rsidR="00BC3C45" w:rsidRDefault="006B4CEA">
      <w:pPr>
        <w:pStyle w:val="Gvdemetni0"/>
        <w:framePr w:w="5750" w:h="4954" w:hRule="exact" w:wrap="none" w:vAnchor="page" w:hAnchor="page" w:x="1355" w:y="4140"/>
        <w:shd w:val="clear" w:color="auto" w:fill="auto"/>
        <w:spacing w:before="0" w:after="0" w:line="120" w:lineRule="exact"/>
        <w:ind w:left="40"/>
        <w:jc w:val="left"/>
      </w:pPr>
      <w:r>
        <w:t>Yukarıda özellikleri yazılı taşınmaz/</w:t>
      </w:r>
      <w:proofErr w:type="spellStart"/>
      <w:r>
        <w:t>iar</w:t>
      </w:r>
      <w:proofErr w:type="spellEnd"/>
      <w:r>
        <w:t xml:space="preserve"> bir borç nedeni ila açık arttırma suretiyle satılacaktır.</w:t>
      </w:r>
    </w:p>
    <w:p w:rsidR="00BC3C45" w:rsidRDefault="006B4CEA">
      <w:pPr>
        <w:pStyle w:val="Gvdemetni0"/>
        <w:framePr w:w="5750" w:h="4954" w:hRule="exact" w:wrap="none" w:vAnchor="page" w:hAnchor="page" w:x="1355" w:y="4140"/>
        <w:shd w:val="clear" w:color="auto" w:fill="auto"/>
        <w:spacing w:before="0" w:after="0" w:line="120" w:lineRule="exact"/>
        <w:ind w:left="40" w:firstLine="420"/>
        <w:jc w:val="both"/>
      </w:pPr>
      <w:r>
        <w:t>Satış Şartlan:</w:t>
      </w:r>
    </w:p>
    <w:p w:rsidR="00BC3C45" w:rsidRDefault="006B4CEA">
      <w:pPr>
        <w:pStyle w:val="Gvdemetni0"/>
        <w:framePr w:w="5750" w:h="4954" w:hRule="exact" w:wrap="none" w:vAnchor="page" w:hAnchor="page" w:x="1355" w:y="4140"/>
        <w:numPr>
          <w:ilvl w:val="0"/>
          <w:numId w:val="1"/>
        </w:numPr>
        <w:shd w:val="clear" w:color="auto" w:fill="auto"/>
        <w:tabs>
          <w:tab w:val="left" w:pos="654"/>
        </w:tabs>
        <w:spacing w:before="0" w:after="0" w:line="144" w:lineRule="exact"/>
        <w:ind w:left="40" w:right="20" w:firstLine="420"/>
        <w:jc w:val="both"/>
      </w:pPr>
      <w:r>
        <w:t xml:space="preserve">Satış yukarıda belirtilen gün ve saatte YEŞİLHİSAR İCRA </w:t>
      </w:r>
      <w:proofErr w:type="spellStart"/>
      <w:r>
        <w:t>MÜDÜRLÜGÜN'de</w:t>
      </w:r>
      <w:proofErr w:type="spellEnd"/>
      <w:r>
        <w:t xml:space="preserve"> açık artırma sureti ile yapılacaktır. Bu artırmada tahmin edilen, kıymetin % 60 </w:t>
      </w:r>
      <w:proofErr w:type="spellStart"/>
      <w:r>
        <w:t>nı</w:t>
      </w:r>
      <w:proofErr w:type="spellEnd"/>
      <w:r>
        <w:t xml:space="preserve"> ve rüçhanlı alacaklılar varsa alacakları mecmuunu ve satış </w:t>
      </w:r>
      <w:proofErr w:type="spellStart"/>
      <w:r>
        <w:t>mascaflarını</w:t>
      </w:r>
      <w:proofErr w:type="spellEnd"/>
      <w:r>
        <w:t xml:space="preserve"> geçmek şartı ile ihale olunur. </w:t>
      </w:r>
      <w:proofErr w:type="gramStart"/>
      <w:r>
        <w:t>Böyle .bir</w:t>
      </w:r>
      <w:proofErr w:type="gramEnd"/>
      <w:r>
        <w:t xml:space="preserve"> bedelle alıcı Çıkmaz ise en çok artıranın taa</w:t>
      </w:r>
      <w:r>
        <w:t>hhüdü bakı kalmak şartı ile yukarıda belirtilen gün ve saatlerde ikine arttırmaya çıkılacaktır. Bu arttırmada da bu miktar elde edilememiş ise taşınmaz en çok arttıranın taahhüdü saklı kalmak üzere arttırma ilanında gösterilen müddet sonunda en çok arttıra</w:t>
      </w:r>
      <w:r>
        <w:t xml:space="preserve">na </w:t>
      </w:r>
      <w:proofErr w:type="gramStart"/>
      <w:r>
        <w:t>ihale .edilecektir</w:t>
      </w:r>
      <w:proofErr w:type="gramEnd"/>
      <w:r>
        <w:t xml:space="preserve">. </w:t>
      </w:r>
      <w:proofErr w:type="spellStart"/>
      <w:r>
        <w:t>Şukadarki</w:t>
      </w:r>
      <w:proofErr w:type="spellEnd"/>
      <w:r>
        <w:t xml:space="preserve">, arttırma bedelinin malın tahmin edilen kıymetinin % 40'ını bulması ve satış isteyenin alacağına </w:t>
      </w:r>
      <w:proofErr w:type="spellStart"/>
      <w:r>
        <w:t>rüchanı</w:t>
      </w:r>
      <w:proofErr w:type="spellEnd"/>
      <w:r>
        <w:t xml:space="preserve"> olan </w:t>
      </w:r>
      <w:proofErr w:type="spellStart"/>
      <w:r>
        <w:t>aıacaKiarın</w:t>
      </w:r>
      <w:proofErr w:type="spellEnd"/>
      <w:r>
        <w:t xml:space="preserve"> toplamından fazla olması ve bundan başka, paraya çevirme ve paylaştırma masraflarını geçmesi lazımdır</w:t>
      </w:r>
      <w:r>
        <w:t>* Böyle fazla bedelle alıcı çıkmaz ise satış talebi düşecektir.</w:t>
      </w:r>
    </w:p>
    <w:p w:rsidR="00BC3C45" w:rsidRDefault="006B4CEA">
      <w:pPr>
        <w:pStyle w:val="Gvdemetni0"/>
        <w:framePr w:w="5750" w:h="4954" w:hRule="exact" w:wrap="none" w:vAnchor="page" w:hAnchor="page" w:x="1355" w:y="4140"/>
        <w:numPr>
          <w:ilvl w:val="0"/>
          <w:numId w:val="1"/>
        </w:numPr>
        <w:shd w:val="clear" w:color="auto" w:fill="auto"/>
        <w:tabs>
          <w:tab w:val="left" w:pos="621"/>
        </w:tabs>
        <w:spacing w:before="0" w:after="0" w:line="144" w:lineRule="exact"/>
        <w:ind w:left="40" w:right="20" w:firstLine="420"/>
        <w:jc w:val="both"/>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w:t>
      </w:r>
      <w:r>
        <w:t xml:space="preserve">ı istediğinde 10 gönü geçmemek üzere mehil verilebilir. </w:t>
      </w:r>
      <w:proofErr w:type="gramStart"/>
      <w:r>
        <w:t>Tellaliye</w:t>
      </w:r>
      <w:proofErr w:type="gramEnd"/>
      <w:r>
        <w:t xml:space="preserve"> resmi, ihale pulu, 1/2 tapu harcı ve masrafları, KDV alıcıya aittir.</w:t>
      </w:r>
    </w:p>
    <w:p w:rsidR="00BC3C45" w:rsidRDefault="006B4CEA">
      <w:pPr>
        <w:pStyle w:val="Gvdemetni0"/>
        <w:framePr w:w="5750" w:h="4954" w:hRule="exact" w:wrap="none" w:vAnchor="page" w:hAnchor="page" w:x="1355" w:y="4140"/>
        <w:numPr>
          <w:ilvl w:val="0"/>
          <w:numId w:val="1"/>
        </w:numPr>
        <w:shd w:val="clear" w:color="auto" w:fill="auto"/>
        <w:tabs>
          <w:tab w:val="left" w:pos="630"/>
        </w:tabs>
        <w:spacing w:before="0" w:after="0" w:line="144" w:lineRule="exact"/>
        <w:ind w:left="40" w:right="20" w:firstLine="420"/>
        <w:jc w:val="both"/>
      </w:pPr>
      <w:r>
        <w:t xml:space="preserve">İpotek sahibi alacaklılarla diğer ilgililerin (*) b j taşınmaz üzerindeki haklarını hususu ite faiz ve masrafa dair olan </w:t>
      </w:r>
      <w:r>
        <w:t xml:space="preserve">iddialarını dayanağı belgeler ile </w:t>
      </w:r>
      <w:proofErr w:type="spellStart"/>
      <w:r>
        <w:t>onbeş</w:t>
      </w:r>
      <w:proofErr w:type="spellEnd"/>
      <w:r>
        <w:t xml:space="preserve"> gün içinde dairemize bildirmeleri lazımdır. Aksi takdirde haklan tapu sicil </w:t>
      </w:r>
      <w:proofErr w:type="spellStart"/>
      <w:r>
        <w:t>iie</w:t>
      </w:r>
      <w:proofErr w:type="spellEnd"/>
      <w:r>
        <w:t xml:space="preserve"> sabit olmadıkça paylaşmadan hariç bırakılacaktır.</w:t>
      </w:r>
    </w:p>
    <w:p w:rsidR="00BC3C45" w:rsidRDefault="006B4CEA">
      <w:pPr>
        <w:pStyle w:val="Gvdemetni0"/>
        <w:framePr w:w="5750" w:h="4954" w:hRule="exact" w:wrap="none" w:vAnchor="page" w:hAnchor="page" w:x="1355" w:y="4140"/>
        <w:numPr>
          <w:ilvl w:val="0"/>
          <w:numId w:val="1"/>
        </w:numPr>
        <w:shd w:val="clear" w:color="auto" w:fill="auto"/>
        <w:tabs>
          <w:tab w:val="left" w:pos="630"/>
        </w:tabs>
        <w:spacing w:before="0" w:after="0" w:line="149" w:lineRule="exact"/>
        <w:ind w:left="40" w:right="20" w:firstLine="420"/>
        <w:jc w:val="both"/>
      </w:pPr>
      <w:r>
        <w:t>İhaleye katılıp daha sonra ihale bedelini yatırmamak sureli ile ihalenin feshine sebep</w:t>
      </w:r>
      <w:r>
        <w:t xml:space="preserve">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w:t>
      </w:r>
      <w:r>
        <w:t xml:space="preserve"> olunacak, bu fark, varsa öncelikle teminat bedelinden alınacaktır.</w:t>
      </w:r>
    </w:p>
    <w:p w:rsidR="00BC3C45" w:rsidRDefault="006B4CEA">
      <w:pPr>
        <w:pStyle w:val="Gvdemetni0"/>
        <w:framePr w:w="5750" w:h="4954" w:hRule="exact" w:wrap="none" w:vAnchor="page" w:hAnchor="page" w:x="1355" w:y="4140"/>
        <w:numPr>
          <w:ilvl w:val="0"/>
          <w:numId w:val="1"/>
        </w:numPr>
        <w:shd w:val="clear" w:color="auto" w:fill="auto"/>
        <w:tabs>
          <w:tab w:val="left" w:pos="616"/>
        </w:tabs>
        <w:spacing w:before="0" w:after="0" w:line="149" w:lineRule="exact"/>
        <w:ind w:left="40" w:right="20" w:firstLine="420"/>
        <w:jc w:val="both"/>
      </w:pPr>
      <w:r>
        <w:t>Şartname, ilan tarihinden itibaren herkesin görebilmesi için dairede açık olup masrafı verildiği takdirde isteyen alıcıya bir örneği gönderilebilir.</w:t>
      </w:r>
    </w:p>
    <w:p w:rsidR="00BC3C45" w:rsidRDefault="006B4CEA">
      <w:pPr>
        <w:pStyle w:val="Gvdemetni0"/>
        <w:framePr w:w="5750" w:h="4954" w:hRule="exact" w:wrap="none" w:vAnchor="page" w:hAnchor="page" w:x="1355" w:y="4140"/>
        <w:numPr>
          <w:ilvl w:val="0"/>
          <w:numId w:val="1"/>
        </w:numPr>
        <w:shd w:val="clear" w:color="auto" w:fill="auto"/>
        <w:tabs>
          <w:tab w:val="left" w:pos="650"/>
        </w:tabs>
        <w:spacing w:before="0" w:after="0" w:line="149" w:lineRule="exact"/>
        <w:ind w:left="40" w:right="20" w:firstLine="420"/>
        <w:jc w:val="both"/>
      </w:pPr>
      <w:r>
        <w:t xml:space="preserve">Satışa iştirak edenleri şartnameyi </w:t>
      </w:r>
      <w:r>
        <w:t xml:space="preserve">görmüş ve münderecatını kabul etmiş sayılacakları, başkaca bilgi almak isteyenlerin 2012/2 </w:t>
      </w:r>
      <w:proofErr w:type="spellStart"/>
      <w:r>
        <w:t>Tal</w:t>
      </w:r>
      <w:proofErr w:type="spellEnd"/>
      <w:r>
        <w:t xml:space="preserve">. </w:t>
      </w:r>
      <w:proofErr w:type="gramStart"/>
      <w:r>
        <w:t>sayılı</w:t>
      </w:r>
      <w:proofErr w:type="gramEnd"/>
      <w:r>
        <w:t xml:space="preserve"> dosya numarası ile Müdürlüğümüze başvurmaları ilan olunur.</w:t>
      </w:r>
    </w:p>
    <w:p w:rsidR="00BC3C45" w:rsidRDefault="006B4CEA">
      <w:pPr>
        <w:pStyle w:val="Gvdemetni0"/>
        <w:framePr w:w="5750" w:h="4954" w:hRule="exact" w:wrap="none" w:vAnchor="page" w:hAnchor="page" w:x="1355" w:y="4140"/>
        <w:shd w:val="clear" w:color="auto" w:fill="auto"/>
        <w:tabs>
          <w:tab w:val="left" w:pos="2531"/>
        </w:tabs>
        <w:spacing w:before="0" w:after="125" w:line="120" w:lineRule="exact"/>
        <w:ind w:left="40"/>
        <w:jc w:val="left"/>
      </w:pPr>
      <w:r>
        <w:t>(</w:t>
      </w:r>
      <w:proofErr w:type="gramStart"/>
      <w:r>
        <w:t>İC.</w:t>
      </w:r>
      <w:proofErr w:type="spellStart"/>
      <w:r>
        <w:t>İf</w:t>
      </w:r>
      <w:proofErr w:type="spellEnd"/>
      <w:proofErr w:type="gramEnd"/>
      <w:r>
        <w:t>.K.126)</w:t>
      </w:r>
      <w:r>
        <w:tab/>
        <w:t>07/11/2012</w:t>
      </w:r>
    </w:p>
    <w:p w:rsidR="00BC3C45" w:rsidRDefault="006B4CEA">
      <w:pPr>
        <w:pStyle w:val="Gvdemetni0"/>
        <w:framePr w:w="5750" w:h="4954" w:hRule="exact" w:wrap="none" w:vAnchor="page" w:hAnchor="page" w:x="1355" w:y="4140"/>
        <w:shd w:val="clear" w:color="auto" w:fill="auto"/>
        <w:tabs>
          <w:tab w:val="left" w:pos="4528"/>
          <w:tab w:val="left" w:pos="5094"/>
        </w:tabs>
        <w:spacing w:before="0" w:after="0" w:line="120" w:lineRule="exact"/>
        <w:ind w:left="40"/>
        <w:jc w:val="left"/>
      </w:pPr>
      <w:r>
        <w:t xml:space="preserve">O İlgililer tabirine irtifak hakkı sahipleri de </w:t>
      </w:r>
      <w:proofErr w:type="gramStart"/>
      <w:r>
        <w:t>dahildir</w:t>
      </w:r>
      <w:proofErr w:type="gramEnd"/>
      <w:r>
        <w:t>.</w:t>
      </w:r>
      <w:r>
        <w:tab/>
        <w:t>.</w:t>
      </w:r>
      <w:r>
        <w:tab/>
        <w:t>_</w:t>
      </w:r>
      <w:proofErr w:type="gramStart"/>
      <w:r>
        <w:t>..</w:t>
      </w:r>
      <w:proofErr w:type="gramEnd"/>
      <w:r>
        <w:t xml:space="preserve"> ,</w:t>
      </w:r>
      <w:r>
        <w:rPr>
          <w:vertAlign w:val="subscript"/>
        </w:rPr>
        <w:t>Q</w:t>
      </w:r>
    </w:p>
    <w:p w:rsidR="00BC3C45" w:rsidRDefault="006B4CEA">
      <w:pPr>
        <w:pStyle w:val="Gvdemetni0"/>
        <w:framePr w:w="888" w:h="571" w:hRule="exact" w:wrap="none" w:vAnchor="page" w:hAnchor="page" w:x="1355" w:y="3589"/>
        <w:shd w:val="clear" w:color="auto" w:fill="auto"/>
        <w:spacing w:before="0" w:after="0"/>
        <w:jc w:val="left"/>
      </w:pPr>
      <w:r>
        <w:t>KD</w:t>
      </w:r>
      <w:r>
        <w:t>V Oranı</w:t>
      </w:r>
    </w:p>
    <w:p w:rsidR="00BC3C45" w:rsidRDefault="006B4CEA">
      <w:pPr>
        <w:pStyle w:val="Gvdemetni0"/>
        <w:framePr w:w="888" w:h="571" w:hRule="exact" w:wrap="none" w:vAnchor="page" w:hAnchor="page" w:x="1355" w:y="3589"/>
        <w:numPr>
          <w:ilvl w:val="0"/>
          <w:numId w:val="2"/>
        </w:numPr>
        <w:shd w:val="clear" w:color="auto" w:fill="auto"/>
        <w:tabs>
          <w:tab w:val="left" w:pos="134"/>
        </w:tabs>
        <w:spacing w:before="0" w:after="0"/>
        <w:jc w:val="left"/>
      </w:pPr>
      <w:r>
        <w:t>Satış Günü</w:t>
      </w:r>
    </w:p>
    <w:p w:rsidR="00BC3C45" w:rsidRDefault="006B4CEA">
      <w:pPr>
        <w:pStyle w:val="Gvdemetni0"/>
        <w:framePr w:w="888" w:h="571" w:hRule="exact" w:wrap="none" w:vAnchor="page" w:hAnchor="page" w:x="1355" w:y="3589"/>
        <w:numPr>
          <w:ilvl w:val="0"/>
          <w:numId w:val="2"/>
        </w:numPr>
        <w:shd w:val="clear" w:color="auto" w:fill="auto"/>
        <w:tabs>
          <w:tab w:val="left" w:pos="139"/>
        </w:tabs>
        <w:spacing w:before="0" w:after="0"/>
        <w:jc w:val="left"/>
      </w:pPr>
      <w:r>
        <w:t>Satış Günü</w:t>
      </w:r>
    </w:p>
    <w:p w:rsidR="00BC3C45" w:rsidRDefault="006B4CEA">
      <w:pPr>
        <w:pStyle w:val="Gvdemetni0"/>
        <w:framePr w:wrap="none" w:vAnchor="page" w:hAnchor="page" w:x="2824" w:y="3631"/>
        <w:shd w:val="clear" w:color="auto" w:fill="auto"/>
        <w:spacing w:before="0" w:after="0" w:line="120" w:lineRule="exact"/>
        <w:jc w:val="left"/>
      </w:pPr>
      <w:r>
        <w:t>:%18</w:t>
      </w:r>
    </w:p>
    <w:p w:rsidR="00BC3C45" w:rsidRDefault="006B4CEA">
      <w:pPr>
        <w:pStyle w:val="Gvdemetni0"/>
        <w:framePr w:w="3096" w:h="402" w:hRule="exact" w:wrap="none" w:vAnchor="page" w:hAnchor="page" w:x="3481" w:y="3767"/>
        <w:shd w:val="clear" w:color="auto" w:fill="auto"/>
        <w:spacing w:before="0" w:after="0" w:line="173" w:lineRule="exact"/>
        <w:ind w:right="180"/>
        <w:jc w:val="both"/>
      </w:pPr>
      <w:r>
        <w:t xml:space="preserve">: 15/01/2013 Salı -10:00-10:10 saatleri </w:t>
      </w:r>
      <w:proofErr w:type="gramStart"/>
      <w:r>
        <w:t>arasında : 25</w:t>
      </w:r>
      <w:proofErr w:type="gramEnd"/>
      <w:r>
        <w:t>/01/2013 Cuma -10:00 -10:10 saatleri arasında</w:t>
      </w:r>
    </w:p>
    <w:p w:rsidR="00BC3C45" w:rsidRDefault="006B4CEA">
      <w:pPr>
        <w:pStyle w:val="Gvdemetni0"/>
        <w:framePr w:wrap="none" w:vAnchor="page" w:hAnchor="page" w:x="1393" w:y="9041"/>
        <w:shd w:val="clear" w:color="auto" w:fill="auto"/>
        <w:spacing w:before="0" w:after="0" w:line="120" w:lineRule="exact"/>
        <w:jc w:val="left"/>
      </w:pPr>
      <w:r>
        <w:t xml:space="preserve">Yönetmelik </w:t>
      </w:r>
      <w:proofErr w:type="spellStart"/>
      <w:r>
        <w:t>Ömek</w:t>
      </w:r>
      <w:proofErr w:type="spellEnd"/>
      <w:r>
        <w:t xml:space="preserve"> </w:t>
      </w:r>
      <w:proofErr w:type="gramStart"/>
      <w:r>
        <w:t>No :27</w:t>
      </w:r>
      <w:proofErr w:type="gramEnd"/>
    </w:p>
    <w:p w:rsidR="00BC3C45" w:rsidRDefault="006B4CEA">
      <w:pPr>
        <w:pStyle w:val="Balk20"/>
        <w:framePr w:w="5750" w:h="433" w:hRule="exact" w:wrap="none" w:vAnchor="page" w:hAnchor="page" w:x="1355" w:y="8978"/>
        <w:shd w:val="clear" w:color="auto" w:fill="auto"/>
        <w:ind w:left="4315" w:right="158"/>
      </w:pPr>
      <w:bookmarkStart w:id="1" w:name="bookmark1"/>
      <w:r>
        <w:t>Basın No: 74648</w:t>
      </w:r>
      <w:r>
        <w:br/>
      </w:r>
      <w:hyperlink r:id="rId7" w:history="1">
        <w:r>
          <w:rPr>
            <w:rStyle w:val="Kpr"/>
            <w:lang w:val="en-US"/>
          </w:rPr>
          <w:t>www.bik.gov.tr</w:t>
        </w:r>
        <w:bookmarkEnd w:id="1"/>
      </w:hyperlink>
    </w:p>
    <w:p w:rsidR="00BC3C45" w:rsidRDefault="006B4CEA">
      <w:pPr>
        <w:pStyle w:val="Gvdemetni20"/>
        <w:framePr w:wrap="none" w:vAnchor="page" w:hAnchor="page" w:x="1355" w:y="9774"/>
        <w:shd w:val="clear" w:color="auto" w:fill="auto"/>
        <w:spacing w:before="0" w:line="440" w:lineRule="exact"/>
        <w:ind w:left="820"/>
      </w:pPr>
      <w:r>
        <w:t>•</w:t>
      </w:r>
    </w:p>
    <w:p w:rsidR="00BC3C45" w:rsidRDefault="00BC3C45">
      <w:pPr>
        <w:rPr>
          <w:sz w:val="2"/>
          <w:szCs w:val="2"/>
        </w:rPr>
      </w:pPr>
    </w:p>
    <w:sectPr w:rsidR="00BC3C45" w:rsidSect="00BC3C45">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CEA" w:rsidRDefault="006B4CEA" w:rsidP="00BC3C45">
      <w:r>
        <w:separator/>
      </w:r>
    </w:p>
  </w:endnote>
  <w:endnote w:type="continuationSeparator" w:id="0">
    <w:p w:rsidR="006B4CEA" w:rsidRDefault="006B4CEA" w:rsidP="00BC3C4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CEA" w:rsidRDefault="006B4CEA"/>
  </w:footnote>
  <w:footnote w:type="continuationSeparator" w:id="0">
    <w:p w:rsidR="006B4CEA" w:rsidRDefault="006B4CE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313"/>
    <w:multiLevelType w:val="multilevel"/>
    <w:tmpl w:val="28FA7D74"/>
    <w:lvl w:ilvl="0">
      <w:start w:val="1"/>
      <w:numFmt w:val="decimal"/>
      <w:lvlText w:val="%1."/>
      <w:lvlJc w:val="left"/>
      <w:rPr>
        <w:rFonts w:ascii="Tahoma" w:eastAsia="Tahoma" w:hAnsi="Tahoma" w:cs="Tahoma"/>
        <w:b w:val="0"/>
        <w:bCs w:val="0"/>
        <w:i w:val="0"/>
        <w:iCs w:val="0"/>
        <w:smallCaps w:val="0"/>
        <w:strike w:val="0"/>
        <w:color w:val="000000"/>
        <w:spacing w:val="-6"/>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527AA7"/>
    <w:multiLevelType w:val="multilevel"/>
    <w:tmpl w:val="5CD4A644"/>
    <w:lvl w:ilvl="0">
      <w:start w:val="1"/>
      <w:numFmt w:val="decimal"/>
      <w:lvlText w:val="%1-"/>
      <w:lvlJc w:val="left"/>
      <w:rPr>
        <w:rFonts w:ascii="Tahoma" w:eastAsia="Tahoma" w:hAnsi="Tahoma" w:cs="Tahoma"/>
        <w:b w:val="0"/>
        <w:bCs w:val="0"/>
        <w:i w:val="0"/>
        <w:iCs w:val="0"/>
        <w:smallCaps w:val="0"/>
        <w:strike w:val="0"/>
        <w:color w:val="000000"/>
        <w:spacing w:val="-6"/>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3C45"/>
    <w:rsid w:val="006B4CEA"/>
    <w:rsid w:val="008D0B5F"/>
    <w:rsid w:val="00BC3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C4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C3C45"/>
    <w:rPr>
      <w:color w:val="000080"/>
      <w:u w:val="single"/>
    </w:rPr>
  </w:style>
  <w:style w:type="character" w:customStyle="1" w:styleId="Balk1">
    <w:name w:val="Başlık #1_"/>
    <w:basedOn w:val="VarsaylanParagrafYazTipi"/>
    <w:link w:val="Balk10"/>
    <w:rsid w:val="00BC3C45"/>
    <w:rPr>
      <w:rFonts w:ascii="Tahoma" w:eastAsia="Tahoma" w:hAnsi="Tahoma" w:cs="Tahoma"/>
      <w:b w:val="0"/>
      <w:bCs w:val="0"/>
      <w:i w:val="0"/>
      <w:iCs w:val="0"/>
      <w:smallCaps w:val="0"/>
      <w:strike w:val="0"/>
      <w:spacing w:val="-4"/>
      <w:sz w:val="18"/>
      <w:szCs w:val="18"/>
      <w:u w:val="none"/>
    </w:rPr>
  </w:style>
  <w:style w:type="character" w:customStyle="1" w:styleId="Gvdemetni">
    <w:name w:val="Gövde metni_"/>
    <w:basedOn w:val="VarsaylanParagrafYazTipi"/>
    <w:link w:val="Gvdemetni0"/>
    <w:rsid w:val="00BC3C45"/>
    <w:rPr>
      <w:rFonts w:ascii="Tahoma" w:eastAsia="Tahoma" w:hAnsi="Tahoma" w:cs="Tahoma"/>
      <w:b w:val="0"/>
      <w:bCs w:val="0"/>
      <w:i w:val="0"/>
      <w:iCs w:val="0"/>
      <w:smallCaps w:val="0"/>
      <w:strike w:val="0"/>
      <w:spacing w:val="-6"/>
      <w:sz w:val="12"/>
      <w:szCs w:val="12"/>
      <w:u w:val="none"/>
    </w:rPr>
  </w:style>
  <w:style w:type="character" w:customStyle="1" w:styleId="Balk2">
    <w:name w:val="Başlık #2_"/>
    <w:basedOn w:val="VarsaylanParagrafYazTipi"/>
    <w:link w:val="Balk20"/>
    <w:rsid w:val="00BC3C45"/>
    <w:rPr>
      <w:rFonts w:ascii="Tahoma" w:eastAsia="Tahoma" w:hAnsi="Tahoma" w:cs="Tahoma"/>
      <w:b/>
      <w:bCs/>
      <w:i w:val="0"/>
      <w:iCs w:val="0"/>
      <w:smallCaps w:val="0"/>
      <w:strike w:val="0"/>
      <w:spacing w:val="-1"/>
      <w:sz w:val="13"/>
      <w:szCs w:val="13"/>
      <w:u w:val="none"/>
    </w:rPr>
  </w:style>
  <w:style w:type="character" w:customStyle="1" w:styleId="Gvdemetni2">
    <w:name w:val="Gövde metni (2)_"/>
    <w:basedOn w:val="VarsaylanParagrafYazTipi"/>
    <w:link w:val="Gvdemetni20"/>
    <w:rsid w:val="00BC3C45"/>
    <w:rPr>
      <w:rFonts w:ascii="Tahoma" w:eastAsia="Tahoma" w:hAnsi="Tahoma" w:cs="Tahoma"/>
      <w:b w:val="0"/>
      <w:bCs w:val="0"/>
      <w:i w:val="0"/>
      <w:iCs w:val="0"/>
      <w:smallCaps w:val="0"/>
      <w:strike w:val="0"/>
      <w:sz w:val="44"/>
      <w:szCs w:val="44"/>
      <w:u w:val="none"/>
    </w:rPr>
  </w:style>
  <w:style w:type="paragraph" w:customStyle="1" w:styleId="Balk10">
    <w:name w:val="Başlık #1"/>
    <w:basedOn w:val="Normal"/>
    <w:link w:val="Balk1"/>
    <w:rsid w:val="00BC3C45"/>
    <w:pPr>
      <w:shd w:val="clear" w:color="auto" w:fill="FFFFFF"/>
      <w:spacing w:after="120" w:line="216" w:lineRule="exact"/>
      <w:jc w:val="center"/>
      <w:outlineLvl w:val="0"/>
    </w:pPr>
    <w:rPr>
      <w:rFonts w:ascii="Tahoma" w:eastAsia="Tahoma" w:hAnsi="Tahoma" w:cs="Tahoma"/>
      <w:spacing w:val="-4"/>
      <w:sz w:val="18"/>
      <w:szCs w:val="18"/>
    </w:rPr>
  </w:style>
  <w:style w:type="paragraph" w:customStyle="1" w:styleId="Gvdemetni0">
    <w:name w:val="Gövde metni"/>
    <w:basedOn w:val="Normal"/>
    <w:link w:val="Gvdemetni"/>
    <w:rsid w:val="00BC3C45"/>
    <w:pPr>
      <w:shd w:val="clear" w:color="auto" w:fill="FFFFFF"/>
      <w:spacing w:before="120" w:after="120" w:line="168" w:lineRule="exact"/>
      <w:jc w:val="center"/>
    </w:pPr>
    <w:rPr>
      <w:rFonts w:ascii="Tahoma" w:eastAsia="Tahoma" w:hAnsi="Tahoma" w:cs="Tahoma"/>
      <w:spacing w:val="-6"/>
      <w:sz w:val="12"/>
      <w:szCs w:val="12"/>
    </w:rPr>
  </w:style>
  <w:style w:type="paragraph" w:customStyle="1" w:styleId="Balk20">
    <w:name w:val="Başlık #2"/>
    <w:basedOn w:val="Normal"/>
    <w:link w:val="Balk2"/>
    <w:rsid w:val="00BC3C45"/>
    <w:pPr>
      <w:shd w:val="clear" w:color="auto" w:fill="FFFFFF"/>
      <w:spacing w:line="187" w:lineRule="exact"/>
      <w:jc w:val="both"/>
      <w:outlineLvl w:val="1"/>
    </w:pPr>
    <w:rPr>
      <w:rFonts w:ascii="Tahoma" w:eastAsia="Tahoma" w:hAnsi="Tahoma" w:cs="Tahoma"/>
      <w:b/>
      <w:bCs/>
      <w:spacing w:val="-1"/>
      <w:sz w:val="13"/>
      <w:szCs w:val="13"/>
    </w:rPr>
  </w:style>
  <w:style w:type="paragraph" w:customStyle="1" w:styleId="Gvdemetni20">
    <w:name w:val="Gövde metni (2)"/>
    <w:basedOn w:val="Normal"/>
    <w:link w:val="Gvdemetni2"/>
    <w:rsid w:val="00BC3C45"/>
    <w:pPr>
      <w:shd w:val="clear" w:color="auto" w:fill="FFFFFF"/>
      <w:spacing w:before="120" w:line="0" w:lineRule="atLeast"/>
    </w:pPr>
    <w:rPr>
      <w:rFonts w:ascii="Tahoma" w:eastAsia="Tahoma" w:hAnsi="Tahoma" w:cs="Tahoma"/>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2012-11-28T16:12:00Z</dcterms:created>
  <dcterms:modified xsi:type="dcterms:W3CDTF">2012-11-28T16:12:00Z</dcterms:modified>
</cp:coreProperties>
</file>