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4C" w:rsidRDefault="00FB51DB">
      <w:pPr>
        <w:pStyle w:val="Gvdemetni20"/>
        <w:shd w:val="clear" w:color="auto" w:fill="000000"/>
        <w:spacing w:after="2" w:line="240" w:lineRule="exact"/>
      </w:pPr>
      <w:r>
        <w:rPr>
          <w:rStyle w:val="Gvdemetni21"/>
          <w:b/>
          <w:bCs/>
        </w:rPr>
        <w:t>BODRUM IZALE-I ŞUYU SATIŞ MEMURLUGU'NDAN</w:t>
      </w:r>
    </w:p>
    <w:p w:rsidR="00ED1B4C" w:rsidRDefault="00FB51DB">
      <w:pPr>
        <w:pStyle w:val="Gvdemetni20"/>
        <w:shd w:val="clear" w:color="auto" w:fill="000000"/>
        <w:spacing w:after="0" w:line="240" w:lineRule="exact"/>
        <w:sectPr w:rsidR="00ED1B4C">
          <w:type w:val="continuous"/>
          <w:pgSz w:w="11909" w:h="16838"/>
          <w:pgMar w:top="2396" w:right="2806" w:bottom="2410" w:left="3132" w:header="0" w:footer="3" w:gutter="0"/>
          <w:cols w:space="720"/>
          <w:noEndnote/>
          <w:docGrid w:linePitch="360"/>
        </w:sectPr>
      </w:pPr>
      <w:r>
        <w:rPr>
          <w:rStyle w:val="Gvdemetni21"/>
          <w:b/>
          <w:bCs/>
        </w:rPr>
        <w:t>GAYRİMENKUL AÇIK ARTIRMA İLANI</w:t>
      </w:r>
    </w:p>
    <w:p w:rsidR="00ED1B4C" w:rsidRDefault="00ED1B4C">
      <w:pPr>
        <w:spacing w:line="137" w:lineRule="exact"/>
        <w:rPr>
          <w:sz w:val="11"/>
          <w:szCs w:val="11"/>
        </w:rPr>
      </w:pPr>
    </w:p>
    <w:p w:rsidR="00ED1B4C" w:rsidRDefault="00ED1B4C">
      <w:pPr>
        <w:rPr>
          <w:sz w:val="2"/>
          <w:szCs w:val="2"/>
        </w:rPr>
        <w:sectPr w:rsidR="00ED1B4C">
          <w:type w:val="continuous"/>
          <w:pgSz w:w="11909" w:h="16838"/>
          <w:pgMar w:top="0" w:right="0" w:bottom="0" w:left="0" w:header="0" w:footer="3" w:gutter="0"/>
          <w:cols w:space="720"/>
          <w:noEndnote/>
          <w:docGrid w:linePitch="360"/>
        </w:sectPr>
      </w:pPr>
    </w:p>
    <w:p w:rsidR="00ED1B4C" w:rsidRDefault="00FB51DB">
      <w:pPr>
        <w:pStyle w:val="Gvdemetni50"/>
        <w:shd w:val="clear" w:color="auto" w:fill="auto"/>
        <w:ind w:left="20"/>
      </w:pPr>
      <w:r>
        <w:lastRenderedPageBreak/>
        <w:t>Dosya No: 2011/15 SATIŞ. Örnek no: 64</w:t>
      </w:r>
    </w:p>
    <w:p w:rsidR="00ED1B4C" w:rsidRDefault="00FB51DB">
      <w:pPr>
        <w:pStyle w:val="Gvdemetni50"/>
        <w:shd w:val="clear" w:color="auto" w:fill="auto"/>
        <w:ind w:left="20" w:right="20"/>
      </w:pPr>
      <w:r>
        <w:t>Satılmasına karar verilen gayrimenkulün cinsi, kıymeti, adedi, evsafı:</w:t>
      </w:r>
    </w:p>
    <w:p w:rsidR="00ED1B4C" w:rsidRDefault="00FB51DB">
      <w:pPr>
        <w:pStyle w:val="Gvdemetni0"/>
        <w:shd w:val="clear" w:color="auto" w:fill="auto"/>
        <w:ind w:left="20" w:right="20" w:firstLine="160"/>
      </w:pPr>
      <w:r>
        <w:t xml:space="preserve">1. Muğla İli Bodrum </w:t>
      </w:r>
      <w:proofErr w:type="spellStart"/>
      <w:r>
        <w:t>Eskiçeşme</w:t>
      </w:r>
      <w:proofErr w:type="spellEnd"/>
      <w:r>
        <w:t xml:space="preserve"> </w:t>
      </w:r>
      <w:proofErr w:type="spellStart"/>
      <w:r>
        <w:t>Gümbet</w:t>
      </w:r>
      <w:proofErr w:type="spellEnd"/>
      <w:r>
        <w:t xml:space="preserve"> mev</w:t>
      </w:r>
      <w:r>
        <w:softHyphen/>
        <w:t>kii 224 ada 3 parsel 412,00 M2 miktarlı arsa niteliğinde taşınmaz.</w:t>
      </w:r>
    </w:p>
    <w:p w:rsidR="00ED1B4C" w:rsidRDefault="00FB51DB">
      <w:pPr>
        <w:pStyle w:val="Gvdemetni0"/>
        <w:shd w:val="clear" w:color="auto" w:fill="auto"/>
        <w:ind w:left="20" w:right="20" w:firstLine="160"/>
      </w:pPr>
      <w:proofErr w:type="gramStart"/>
      <w:r>
        <w:t>Taşınmazlar Bodrum Belediye Başkanlığı'nca verilme 13.08.2008 tarih 12382 sayılı yazıları ekinde gönderilen imar durumuna ilişkin bilgi</w:t>
      </w:r>
      <w:r>
        <w:softHyphen/>
        <w:t>lerde 1/1000 ölçekli Bodrum KARİP planında ta</w:t>
      </w:r>
      <w:r>
        <w:softHyphen/>
        <w:t>şınmazın bulunduğu bölge II. derece etkileme geçiş alanında, inşaat emsali TAKS % 25, KAKS % 50 yoğunluklu konut alanında kalmakta olup minimum ifraz şartının 1000 M2 olduğu ve en az yol cephesinin 20 metre olması gerektiği bil</w:t>
      </w:r>
      <w:r>
        <w:softHyphen/>
        <w:t xml:space="preserve">dirilmiştir. </w:t>
      </w:r>
      <w:proofErr w:type="gramEnd"/>
      <w:r>
        <w:t>Parsel 412 M2 yüzölçümlü arsa vas</w:t>
      </w:r>
      <w:r>
        <w:softHyphen/>
        <w:t>fında olup, parsel üzerinde bodrum katı ile be</w:t>
      </w:r>
      <w:r>
        <w:softHyphen/>
        <w:t xml:space="preserve">raber 2 katlı </w:t>
      </w:r>
      <w:proofErr w:type="spellStart"/>
      <w:r>
        <w:t>Central</w:t>
      </w:r>
      <w:proofErr w:type="spellEnd"/>
      <w:r>
        <w:t xml:space="preserve"> Otel ismi ile işletilmekte iken son yıllarda işletilmeyen atıl konumda bir bina vardır. Bodrum Belediyesi'nce verilme </w:t>
      </w:r>
      <w:proofErr w:type="spellStart"/>
      <w:r>
        <w:t>Es</w:t>
      </w:r>
      <w:r>
        <w:softHyphen/>
        <w:t>kiçeşme</w:t>
      </w:r>
      <w:proofErr w:type="spellEnd"/>
      <w:r>
        <w:t xml:space="preserve"> mahallesi 224 ada 3 parsel için 30.01.1986 tarihli "Yapı Kullanma izin Belgesi" mevcuttur. Bu belge de 7 adet dinlenme evi, 30,00 M2'den toplam 206,00 M2‘</w:t>
      </w:r>
      <w:proofErr w:type="spellStart"/>
      <w:r>
        <w:t>lik</w:t>
      </w:r>
      <w:proofErr w:type="spellEnd"/>
      <w:r>
        <w:t xml:space="preserve"> inşaat alanını kapsayan bir belgedir. Binanın fiili zemin durumu itibarı ile atıl konumda olduğu, parsel üzerinde bodrum katı ile beraber teras katı da </w:t>
      </w:r>
      <w:proofErr w:type="gramStart"/>
      <w:r>
        <w:t>dahil</w:t>
      </w:r>
      <w:proofErr w:type="gramEnd"/>
      <w:r>
        <w:t xml:space="preserve"> olmak üzere 350,00 M2'lik kullanım ala</w:t>
      </w:r>
      <w:r>
        <w:softHyphen/>
        <w:t xml:space="preserve">nının olduğu, ayrıca parselin kuzey sınırında yüzme havuzunun bulunduğu, parsel sahile 250 </w:t>
      </w:r>
      <w:proofErr w:type="spellStart"/>
      <w:r>
        <w:t>mt</w:t>
      </w:r>
      <w:proofErr w:type="spellEnd"/>
      <w:r>
        <w:t xml:space="preserve">. </w:t>
      </w:r>
      <w:proofErr w:type="gramStart"/>
      <w:r>
        <w:t>mesafede</w:t>
      </w:r>
      <w:proofErr w:type="gramEnd"/>
      <w:r>
        <w:t xml:space="preserve"> olup Bodrum merkeze 2,5 Km mesafededir. Etrafında konut ve turizm amaçlı yapılaşma mevcuttur. Bodrum Belediye- </w:t>
      </w:r>
      <w:proofErr w:type="spellStart"/>
      <w:r>
        <w:t>si'nin</w:t>
      </w:r>
      <w:proofErr w:type="spellEnd"/>
      <w:r>
        <w:t xml:space="preserve"> tüm alt yapı hizmetlerinden yararlanmak</w:t>
      </w:r>
      <w:r>
        <w:softHyphen/>
        <w:t>tadır. Taşınmazın konumu, büyüklüğü, imar du</w:t>
      </w:r>
      <w:r>
        <w:softHyphen/>
        <w:t>rumu, denize uzaklığı, imar durumu açısından yapılaşma şartları, serbest piyasa rayiçleri gö</w:t>
      </w:r>
      <w:r>
        <w:softHyphen/>
        <w:t>zetilerek parselin toplam değerinin 750.000,00 TL (</w:t>
      </w:r>
      <w:proofErr w:type="spellStart"/>
      <w:r>
        <w:t>yediyüzellibin</w:t>
      </w:r>
      <w:proofErr w:type="spellEnd"/>
      <w:r>
        <w:t xml:space="preserve"> Türk Lirası) olduğu bilirkişiler</w:t>
      </w:r>
      <w:r>
        <w:softHyphen/>
        <w:t>ce takdir edilmiştir.</w:t>
      </w:r>
    </w:p>
    <w:p w:rsidR="00ED1B4C" w:rsidRDefault="00FB51DB">
      <w:pPr>
        <w:pStyle w:val="Gvdemetni0"/>
        <w:shd w:val="clear" w:color="auto" w:fill="auto"/>
        <w:ind w:left="20" w:right="20" w:firstLine="160"/>
      </w:pPr>
      <w:r>
        <w:rPr>
          <w:rStyle w:val="GvdemetniKaln"/>
        </w:rPr>
        <w:t xml:space="preserve">İMAR DURUMU: </w:t>
      </w:r>
      <w:r>
        <w:t>YUKARIDA BELİRTİLMİŞ OLUP, DOSYASINDA.</w:t>
      </w:r>
    </w:p>
    <w:p w:rsidR="00ED1B4C" w:rsidRDefault="00FB51DB">
      <w:pPr>
        <w:pStyle w:val="Gvdemetni50"/>
        <w:shd w:val="clear" w:color="auto" w:fill="auto"/>
        <w:ind w:left="20"/>
      </w:pPr>
      <w:r>
        <w:t xml:space="preserve">Muhammen bedeli: </w:t>
      </w:r>
      <w:r>
        <w:rPr>
          <w:rStyle w:val="Gvdemetni5KalnDeil"/>
        </w:rPr>
        <w:t>750.000,00 TL</w:t>
      </w:r>
    </w:p>
    <w:p w:rsidR="00ED1B4C" w:rsidRDefault="00FB51DB">
      <w:pPr>
        <w:pStyle w:val="Gvdemetni50"/>
        <w:numPr>
          <w:ilvl w:val="0"/>
          <w:numId w:val="1"/>
        </w:numPr>
        <w:shd w:val="clear" w:color="auto" w:fill="auto"/>
        <w:tabs>
          <w:tab w:val="left" w:pos="367"/>
        </w:tabs>
        <w:ind w:left="20"/>
      </w:pPr>
      <w:r>
        <w:t>SATIŞ ŞARTLARI:</w:t>
      </w:r>
    </w:p>
    <w:p w:rsidR="00ED1B4C" w:rsidRDefault="00FB51DB">
      <w:pPr>
        <w:pStyle w:val="Gvdemetni0"/>
        <w:shd w:val="clear" w:color="auto" w:fill="auto"/>
        <w:ind w:left="20" w:right="20" w:firstLine="160"/>
      </w:pPr>
      <w:r>
        <w:t>Taşınmazın birinci satışı 07.09.2012 günü saat 13.00-13.10 saatleri arasında; Bodrum/Bİ- TE2 ADLİYE BİNASI ARKA BAHÇESİNDE açık arttırma suretiyle yapılacaktır. Bu arttırmada tahmin edilen bedelin % 60’ını ve rüçhanlı ala</w:t>
      </w:r>
      <w:r>
        <w:softHyphen/>
        <w:t>caklılar varsa alacakları mecmuunu, satış mas</w:t>
      </w:r>
      <w:r>
        <w:softHyphen/>
        <w:t xml:space="preserve">raflarını ve paylaştırma masraflarını geçmek şartı ile ihale olunur. Böyle fazla bedelle alıcı çıkmazsa en çok arttıranın </w:t>
      </w:r>
      <w:r>
        <w:lastRenderedPageBreak/>
        <w:t>taahhüdü baki kal</w:t>
      </w:r>
      <w:r>
        <w:softHyphen/>
        <w:t>mak şartıyla;</w:t>
      </w:r>
    </w:p>
    <w:p w:rsidR="00ED1B4C" w:rsidRDefault="00FB51DB">
      <w:pPr>
        <w:pStyle w:val="Gvdemetni0"/>
        <w:shd w:val="clear" w:color="auto" w:fill="auto"/>
        <w:ind w:left="20" w:right="20" w:firstLine="140"/>
      </w:pPr>
      <w:r>
        <w:t>Taşınmaz 17.09.2012 günü aynı saatlerde ve aynı yerde ikinci arttırmaya çıkarılacaktır. Bu arttırmada da bu miktar elde edilememiş ise gayrimenkul en çok arttıranın taahhüdü saklı kalmak üzere arttırma ilanında gösterilen müd</w:t>
      </w:r>
      <w:r>
        <w:softHyphen/>
        <w:t>det sonunda en çok arttırana ihale edilecektir. Şu kadar ki, arttırma bedelinin malın tahmin edilen kıymetinin % 40'ını bulması ve satış iste</w:t>
      </w:r>
      <w:r>
        <w:softHyphen/>
        <w:t>yenin alacağına rüçhanı olan alacakların topla</w:t>
      </w:r>
      <w:r>
        <w:softHyphen/>
        <w:t xml:space="preserve">mından fazla olması ve bundan başka, paraya çevirme ve paylaştırma masraflarını geçmesi lazımdır. </w:t>
      </w:r>
      <w:proofErr w:type="spellStart"/>
      <w:r>
        <w:t>Böyie</w:t>
      </w:r>
      <w:proofErr w:type="spellEnd"/>
      <w:r>
        <w:t xml:space="preserve"> fazla bedelle alıcı çıkmazsa satış talebi düşecektir.</w:t>
      </w:r>
    </w:p>
    <w:p w:rsidR="00ED1B4C" w:rsidRDefault="00FB51DB">
      <w:pPr>
        <w:pStyle w:val="Gvdemetni0"/>
        <w:numPr>
          <w:ilvl w:val="0"/>
          <w:numId w:val="1"/>
        </w:numPr>
        <w:shd w:val="clear" w:color="auto" w:fill="auto"/>
        <w:tabs>
          <w:tab w:val="left" w:pos="351"/>
        </w:tabs>
        <w:ind w:left="20" w:right="20" w:firstLine="140"/>
      </w:pPr>
      <w:r>
        <w:t>Arttırmaya iştirak edeceklerin tahmin edi</w:t>
      </w:r>
      <w:r>
        <w:softHyphen/>
        <w:t>len kıymetin % 20'si nispetinde pey akçesi ve</w:t>
      </w:r>
      <w:r>
        <w:softHyphen/>
        <w:t>ya bu miktar kadar banka teminat mektubunu vermeleri lazımdır. Satış peşin para iledir. Alıcı istediğinde 10 günü geçmemek üzere mehil ve</w:t>
      </w:r>
      <w:r>
        <w:softHyphen/>
        <w:t xml:space="preserve">rilebilir. ihale Damga pulu, </w:t>
      </w:r>
      <w:proofErr w:type="gramStart"/>
      <w:r>
        <w:t>KDV.si</w:t>
      </w:r>
      <w:proofErr w:type="gramEnd"/>
      <w:r>
        <w:t xml:space="preserve">, tapu alım harcı ve masrafları alıcıya aittir. Belediye </w:t>
      </w:r>
      <w:proofErr w:type="gramStart"/>
      <w:r>
        <w:t>tellali</w:t>
      </w:r>
      <w:r>
        <w:softHyphen/>
        <w:t>ye</w:t>
      </w:r>
      <w:proofErr w:type="gramEnd"/>
      <w:r>
        <w:t xml:space="preserve"> ücreti, birikmiş vergiler ve satım harcı satış bedelinden ödenir.</w:t>
      </w:r>
    </w:p>
    <w:p w:rsidR="00ED1B4C" w:rsidRDefault="00FB51DB">
      <w:pPr>
        <w:pStyle w:val="Gvdemetni0"/>
        <w:numPr>
          <w:ilvl w:val="0"/>
          <w:numId w:val="2"/>
        </w:numPr>
        <w:shd w:val="clear" w:color="auto" w:fill="auto"/>
        <w:tabs>
          <w:tab w:val="left" w:pos="409"/>
        </w:tabs>
        <w:ind w:left="20" w:right="20" w:firstLine="140"/>
      </w:pPr>
      <w:r>
        <w:t>-</w:t>
      </w:r>
      <w:r>
        <w:tab/>
        <w:t>ipotek sahibi alacaklılarla diğer ilgililerin (*) bu gayrimenkul üzerindeki haklarını hususiy</w:t>
      </w:r>
      <w:r>
        <w:softHyphen/>
        <w:t xml:space="preserve">le faiz ve masrafa dair olan iddialarını dayanağı belgeler ile </w:t>
      </w:r>
      <w:proofErr w:type="spellStart"/>
      <w:r>
        <w:t>onbeşgün</w:t>
      </w:r>
      <w:proofErr w:type="spellEnd"/>
      <w:r>
        <w:t xml:space="preserve"> içinde dairemize bildir</w:t>
      </w:r>
      <w:r>
        <w:softHyphen/>
        <w:t xml:space="preserve">meleri lazımdır. Aksi </w:t>
      </w:r>
      <w:proofErr w:type="gramStart"/>
      <w:r>
        <w:t>taktirde</w:t>
      </w:r>
      <w:proofErr w:type="gramEnd"/>
      <w:r>
        <w:t xml:space="preserve"> hakları tapu sicili ile sabit olmadıkça paylaştırmadan hariç bırakı</w:t>
      </w:r>
      <w:r>
        <w:softHyphen/>
        <w:t>lacaklardır.</w:t>
      </w:r>
    </w:p>
    <w:p w:rsidR="00ED1B4C" w:rsidRDefault="00FB51DB">
      <w:pPr>
        <w:pStyle w:val="Gvdemetni0"/>
        <w:numPr>
          <w:ilvl w:val="0"/>
          <w:numId w:val="2"/>
        </w:numPr>
        <w:shd w:val="clear" w:color="auto" w:fill="auto"/>
        <w:tabs>
          <w:tab w:val="left" w:pos="418"/>
        </w:tabs>
        <w:ind w:left="20" w:right="20" w:firstLine="140"/>
      </w:pPr>
      <w:proofErr w:type="gramStart"/>
      <w:r>
        <w:t>-</w:t>
      </w:r>
      <w:r>
        <w:tab/>
        <w:t xml:space="preserve">ihaleye katılıp daha sonra ihale bedelini yatırmamak suretiyle ihalenin feshine sebep olan tüm alıcılar ve kefilleri teklif ettikleri bedel ile son ihale bedeli arasındaki farktan ve diğer zararlardan ve ayrıca yasal temerrüt faizinden </w:t>
      </w:r>
      <w:proofErr w:type="spellStart"/>
      <w:r>
        <w:t>müteselsilen</w:t>
      </w:r>
      <w:proofErr w:type="spellEnd"/>
      <w:r>
        <w:t xml:space="preserve"> mesul olacaklardır, ihale farkı ve temerrüt faizi ayrıca hükme hacet kalmaksızın dairemizce tahsil olunacak, bu fark, varsa ön</w:t>
      </w:r>
      <w:r>
        <w:softHyphen/>
        <w:t>celikle teminat bedelinden alınacaktır.</w:t>
      </w:r>
      <w:proofErr w:type="gramEnd"/>
    </w:p>
    <w:p w:rsidR="00ED1B4C" w:rsidRDefault="00FB51DB">
      <w:pPr>
        <w:pStyle w:val="Gvdemetni0"/>
        <w:numPr>
          <w:ilvl w:val="0"/>
          <w:numId w:val="2"/>
        </w:numPr>
        <w:shd w:val="clear" w:color="auto" w:fill="auto"/>
        <w:tabs>
          <w:tab w:val="left" w:pos="399"/>
        </w:tabs>
        <w:ind w:left="20" w:right="20" w:firstLine="140"/>
      </w:pPr>
      <w:r>
        <w:t>-</w:t>
      </w:r>
      <w:r>
        <w:tab/>
        <w:t>Şartname, ilan tarihinden itibaren herke</w:t>
      </w:r>
      <w:r>
        <w:softHyphen/>
        <w:t xml:space="preserve">sin görebilmesi için dairede açık olup masrafı verildiği </w:t>
      </w:r>
      <w:proofErr w:type="gramStart"/>
      <w:r>
        <w:t>taktirde</w:t>
      </w:r>
      <w:proofErr w:type="gramEnd"/>
      <w:r>
        <w:t xml:space="preserve"> isteyen alıcıya bir örneği gön</w:t>
      </w:r>
      <w:r>
        <w:softHyphen/>
        <w:t>derilebilir.</w:t>
      </w:r>
    </w:p>
    <w:p w:rsidR="00ED1B4C" w:rsidRDefault="00FB51DB">
      <w:pPr>
        <w:pStyle w:val="Gvdemetni0"/>
        <w:numPr>
          <w:ilvl w:val="0"/>
          <w:numId w:val="2"/>
        </w:numPr>
        <w:shd w:val="clear" w:color="auto" w:fill="auto"/>
        <w:tabs>
          <w:tab w:val="left" w:pos="414"/>
        </w:tabs>
        <w:ind w:left="20" w:right="20" w:firstLine="140"/>
      </w:pPr>
      <w:r>
        <w:t>-</w:t>
      </w:r>
      <w:r>
        <w:tab/>
        <w:t>Satışa iştirak edenlerin şartnameyi gör</w:t>
      </w:r>
      <w:r>
        <w:softHyphen/>
        <w:t>müş ve münderecatını kabul etmiş sayılacakla- n, başkaca bilgi almak isteyenlerin 2011/15 İZALE-İ ŞUYU SATIŞ sayılı dosya numarasıyla memurluğumuza başvurmaları ilan olunur.</w:t>
      </w:r>
    </w:p>
    <w:p w:rsidR="00ED1B4C" w:rsidRDefault="00FB51DB">
      <w:pPr>
        <w:pStyle w:val="Gvdemetni0"/>
        <w:shd w:val="clear" w:color="auto" w:fill="auto"/>
        <w:ind w:left="20" w:firstLine="140"/>
      </w:pPr>
      <w:proofErr w:type="gramStart"/>
      <w:r>
        <w:t>(</w:t>
      </w:r>
      <w:proofErr w:type="spellStart"/>
      <w:proofErr w:type="gramEnd"/>
      <w:r>
        <w:t>İc</w:t>
      </w:r>
      <w:proofErr w:type="spellEnd"/>
      <w:r>
        <w:t xml:space="preserve">. </w:t>
      </w:r>
      <w:proofErr w:type="spellStart"/>
      <w:r>
        <w:t>ifl</w:t>
      </w:r>
      <w:proofErr w:type="spellEnd"/>
      <w:r>
        <w:t>. K. 126</w:t>
      </w:r>
      <w:proofErr w:type="gramStart"/>
      <w:r>
        <w:t>)</w:t>
      </w:r>
      <w:proofErr w:type="gramEnd"/>
    </w:p>
    <w:p w:rsidR="00ED1B4C" w:rsidRDefault="00FB51DB">
      <w:pPr>
        <w:pStyle w:val="Gvdemetni0"/>
        <w:shd w:val="clear" w:color="auto" w:fill="auto"/>
        <w:tabs>
          <w:tab w:val="left" w:pos="1268"/>
        </w:tabs>
        <w:ind w:left="20" w:right="20" w:firstLine="140"/>
        <w:sectPr w:rsidR="00ED1B4C">
          <w:type w:val="continuous"/>
          <w:pgSz w:w="11909" w:h="16838"/>
          <w:pgMar w:top="2396" w:right="2863" w:bottom="2410" w:left="2834" w:header="0" w:footer="3" w:gutter="0"/>
          <w:cols w:num="2" w:space="250"/>
          <w:noEndnote/>
          <w:docGrid w:linePitch="360"/>
        </w:sectPr>
      </w:pPr>
      <w:r>
        <w:t xml:space="preserve">O ilgililer tabirine irtifak hakkı sahipleri de </w:t>
      </w:r>
      <w:proofErr w:type="gramStart"/>
      <w:r>
        <w:t>dahildir</w:t>
      </w:r>
      <w:proofErr w:type="gramEnd"/>
      <w:r>
        <w:t>.</w:t>
      </w:r>
      <w:r>
        <w:tab/>
      </w:r>
      <w:hyperlink r:id="rId7" w:history="1">
        <w:r>
          <w:rPr>
            <w:rStyle w:val="Kpr"/>
            <w:lang w:val="en-US"/>
          </w:rPr>
          <w:t>www.bik.qov.tr</w:t>
        </w:r>
      </w:hyperlink>
      <w:r>
        <w:rPr>
          <w:rStyle w:val="GvdemetniKaln"/>
          <w:lang w:val="en-US"/>
        </w:rPr>
        <w:t xml:space="preserve"> </w:t>
      </w:r>
      <w:r>
        <w:rPr>
          <w:rStyle w:val="GvdemetniKaln"/>
        </w:rPr>
        <w:t>B: 43697</w:t>
      </w:r>
    </w:p>
    <w:p w:rsidR="00ED1B4C" w:rsidRDefault="00ED1B4C">
      <w:pPr>
        <w:spacing w:line="151" w:lineRule="exact"/>
        <w:rPr>
          <w:sz w:val="12"/>
          <w:szCs w:val="12"/>
        </w:rPr>
      </w:pPr>
    </w:p>
    <w:p w:rsidR="00ED1B4C" w:rsidRDefault="00ED1B4C">
      <w:pPr>
        <w:rPr>
          <w:sz w:val="2"/>
          <w:szCs w:val="2"/>
        </w:rPr>
        <w:sectPr w:rsidR="00ED1B4C">
          <w:type w:val="continuous"/>
          <w:pgSz w:w="11909" w:h="16838"/>
          <w:pgMar w:top="0" w:right="0" w:bottom="0" w:left="0" w:header="0" w:footer="3" w:gutter="0"/>
          <w:cols w:space="720"/>
          <w:noEndnote/>
          <w:docGrid w:linePitch="360"/>
        </w:sectPr>
      </w:pPr>
    </w:p>
    <w:p w:rsidR="00ED1B4C" w:rsidRDefault="00FB51DB">
      <w:pPr>
        <w:pStyle w:val="Balk10"/>
        <w:keepNext/>
        <w:keepLines/>
        <w:shd w:val="clear" w:color="auto" w:fill="000000"/>
        <w:spacing w:line="200" w:lineRule="exact"/>
      </w:pPr>
      <w:bookmarkStart w:id="0" w:name="bookmark0"/>
      <w:r>
        <w:rPr>
          <w:rStyle w:val="Balk11"/>
          <w:b/>
          <w:bCs/>
        </w:rPr>
        <w:lastRenderedPageBreak/>
        <w:t>Resmi ilanlar www.</w:t>
      </w:r>
      <w:proofErr w:type="spellStart"/>
      <w:r>
        <w:rPr>
          <w:rStyle w:val="Balk11"/>
          <w:b/>
          <w:bCs/>
        </w:rPr>
        <w:t>iian</w:t>
      </w:r>
      <w:proofErr w:type="spellEnd"/>
      <w:r>
        <w:rPr>
          <w:rStyle w:val="Balk11"/>
          <w:b/>
          <w:bCs/>
        </w:rPr>
        <w:t>.gov.</w:t>
      </w:r>
      <w:proofErr w:type="spellStart"/>
      <w:r>
        <w:rPr>
          <w:rStyle w:val="Balk11"/>
          <w:b/>
          <w:bCs/>
        </w:rPr>
        <w:t>tr’de</w:t>
      </w:r>
      <w:proofErr w:type="spellEnd"/>
      <w:r>
        <w:rPr>
          <w:rStyle w:val="Balk11"/>
          <w:b/>
          <w:bCs/>
        </w:rPr>
        <w:t>.</w:t>
      </w:r>
      <w:bookmarkEnd w:id="0"/>
    </w:p>
    <w:sectPr w:rsidR="00ED1B4C" w:rsidSect="00ED1B4C">
      <w:type w:val="continuous"/>
      <w:pgSz w:w="11909" w:h="16838"/>
      <w:pgMar w:top="2396" w:right="4341" w:bottom="2410" w:left="461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9B" w:rsidRDefault="007C7A9B" w:rsidP="00ED1B4C">
      <w:r>
        <w:separator/>
      </w:r>
    </w:p>
  </w:endnote>
  <w:endnote w:type="continuationSeparator" w:id="0">
    <w:p w:rsidR="007C7A9B" w:rsidRDefault="007C7A9B" w:rsidP="00ED1B4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9B" w:rsidRDefault="007C7A9B"/>
  </w:footnote>
  <w:footnote w:type="continuationSeparator" w:id="0">
    <w:p w:rsidR="007C7A9B" w:rsidRDefault="007C7A9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6CC"/>
    <w:multiLevelType w:val="multilevel"/>
    <w:tmpl w:val="5A6670C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416A93"/>
    <w:multiLevelType w:val="multilevel"/>
    <w:tmpl w:val="92043C66"/>
    <w:lvl w:ilvl="0">
      <w:start w:val="3"/>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D1B4C"/>
    <w:rsid w:val="00784997"/>
    <w:rsid w:val="007C7A9B"/>
    <w:rsid w:val="00EA0F41"/>
    <w:rsid w:val="00ED1B4C"/>
    <w:rsid w:val="00FA33E9"/>
    <w:rsid w:val="00FB51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B4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D1B4C"/>
    <w:rPr>
      <w:color w:val="000080"/>
      <w:u w:val="single"/>
    </w:rPr>
  </w:style>
  <w:style w:type="character" w:customStyle="1" w:styleId="Gvdemetni3Exact">
    <w:name w:val="Gövde metni (3) Exact"/>
    <w:basedOn w:val="VarsaylanParagrafYazTipi"/>
    <w:link w:val="Gvdemetni3"/>
    <w:rsid w:val="00ED1B4C"/>
    <w:rPr>
      <w:b/>
      <w:bCs/>
      <w:i w:val="0"/>
      <w:iCs w:val="0"/>
      <w:smallCaps w:val="0"/>
      <w:strike w:val="0"/>
      <w:spacing w:val="-24"/>
      <w:sz w:val="23"/>
      <w:szCs w:val="23"/>
      <w:u w:val="none"/>
    </w:rPr>
  </w:style>
  <w:style w:type="character" w:customStyle="1" w:styleId="Gvdemetni3Exact0">
    <w:name w:val="Gövde metni (3) Exact"/>
    <w:basedOn w:val="Gvdemetni3Exact"/>
    <w:rsid w:val="00ED1B4C"/>
    <w:rPr>
      <w:rFonts w:ascii="Courier New" w:eastAsia="Courier New" w:hAnsi="Courier New" w:cs="Courier New"/>
      <w:color w:val="FFFFFF"/>
      <w:w w:val="100"/>
      <w:position w:val="0"/>
      <w:u w:val="single"/>
      <w:lang w:val="tr-TR"/>
    </w:rPr>
  </w:style>
  <w:style w:type="character" w:customStyle="1" w:styleId="Gvdemetni3Exact1">
    <w:name w:val="Gövde metni (3) Exact"/>
    <w:basedOn w:val="Gvdemetni3Exact"/>
    <w:rsid w:val="00ED1B4C"/>
    <w:rPr>
      <w:rFonts w:ascii="Courier New" w:eastAsia="Courier New" w:hAnsi="Courier New" w:cs="Courier New"/>
      <w:color w:val="FFFFFF"/>
      <w:w w:val="100"/>
      <w:position w:val="0"/>
    </w:rPr>
  </w:style>
  <w:style w:type="character" w:customStyle="1" w:styleId="Gvdemetni3BookAntiqua85ptKalnDeil0ptbolukbraklyorExact">
    <w:name w:val="Gövde metni (3) + Book Antiqua;8;5 pt;Kalın Değil;0 pt boşluk bırakılıyor Exact"/>
    <w:basedOn w:val="Gvdemetni3Exact"/>
    <w:rsid w:val="00ED1B4C"/>
    <w:rPr>
      <w:rFonts w:ascii="Book Antiqua" w:eastAsia="Book Antiqua" w:hAnsi="Book Antiqua" w:cs="Book Antiqua"/>
      <w:b/>
      <w:bCs/>
      <w:color w:val="FFFFFF"/>
      <w:spacing w:val="-9"/>
      <w:w w:val="100"/>
      <w:position w:val="0"/>
      <w:sz w:val="17"/>
      <w:szCs w:val="17"/>
      <w:lang w:val="tr-TR"/>
    </w:rPr>
  </w:style>
  <w:style w:type="character" w:customStyle="1" w:styleId="Gvdemetni4Exact">
    <w:name w:val="Gövde metni (4) Exact"/>
    <w:basedOn w:val="VarsaylanParagrafYazTipi"/>
    <w:link w:val="Gvdemetni4"/>
    <w:rsid w:val="00ED1B4C"/>
    <w:rPr>
      <w:rFonts w:ascii="Arial Narrow" w:eastAsia="Arial Narrow" w:hAnsi="Arial Narrow" w:cs="Arial Narrow"/>
      <w:b w:val="0"/>
      <w:bCs w:val="0"/>
      <w:i w:val="0"/>
      <w:iCs w:val="0"/>
      <w:smallCaps w:val="0"/>
      <w:strike w:val="0"/>
      <w:sz w:val="20"/>
      <w:szCs w:val="20"/>
      <w:u w:val="none"/>
    </w:rPr>
  </w:style>
  <w:style w:type="character" w:customStyle="1" w:styleId="Gvdemetni4Exact0">
    <w:name w:val="Gövde metni (4) Exact"/>
    <w:basedOn w:val="Gvdemetni4Exact"/>
    <w:rsid w:val="00ED1B4C"/>
    <w:rPr>
      <w:color w:val="FFFFFF"/>
      <w:spacing w:val="0"/>
      <w:w w:val="100"/>
      <w:position w:val="0"/>
    </w:rPr>
  </w:style>
  <w:style w:type="character" w:customStyle="1" w:styleId="Gvdemetni2">
    <w:name w:val="Gövde metni (2)_"/>
    <w:basedOn w:val="VarsaylanParagrafYazTipi"/>
    <w:link w:val="Gvdemetni20"/>
    <w:rsid w:val="00ED1B4C"/>
    <w:rPr>
      <w:rFonts w:ascii="Arial Narrow" w:eastAsia="Arial Narrow" w:hAnsi="Arial Narrow" w:cs="Arial Narrow"/>
      <w:b/>
      <w:bCs/>
      <w:i w:val="0"/>
      <w:iCs w:val="0"/>
      <w:smallCaps w:val="0"/>
      <w:strike w:val="0"/>
      <w:u w:val="none"/>
    </w:rPr>
  </w:style>
  <w:style w:type="character" w:customStyle="1" w:styleId="Gvdemetni21">
    <w:name w:val="Gövde metni (2)"/>
    <w:basedOn w:val="Gvdemetni2"/>
    <w:rsid w:val="00ED1B4C"/>
    <w:rPr>
      <w:color w:val="FFFFFF"/>
      <w:spacing w:val="0"/>
      <w:w w:val="100"/>
      <w:position w:val="0"/>
      <w:sz w:val="24"/>
      <w:szCs w:val="24"/>
      <w:lang w:val="tr-TR"/>
    </w:rPr>
  </w:style>
  <w:style w:type="character" w:customStyle="1" w:styleId="Gvdemetni5">
    <w:name w:val="Gövde metni (5)_"/>
    <w:basedOn w:val="VarsaylanParagrafYazTipi"/>
    <w:link w:val="Gvdemetni50"/>
    <w:rsid w:val="00ED1B4C"/>
    <w:rPr>
      <w:rFonts w:ascii="Arial Narrow" w:eastAsia="Arial Narrow" w:hAnsi="Arial Narrow" w:cs="Arial Narrow"/>
      <w:b/>
      <w:bCs/>
      <w:i w:val="0"/>
      <w:iCs w:val="0"/>
      <w:smallCaps w:val="0"/>
      <w:strike w:val="0"/>
      <w:sz w:val="17"/>
      <w:szCs w:val="17"/>
      <w:u w:val="none"/>
    </w:rPr>
  </w:style>
  <w:style w:type="character" w:customStyle="1" w:styleId="Gvdemetni">
    <w:name w:val="Gövde metni_"/>
    <w:basedOn w:val="VarsaylanParagrafYazTipi"/>
    <w:link w:val="Gvdemetni0"/>
    <w:rsid w:val="00ED1B4C"/>
    <w:rPr>
      <w:rFonts w:ascii="Arial Narrow" w:eastAsia="Arial Narrow" w:hAnsi="Arial Narrow" w:cs="Arial Narrow"/>
      <w:b w:val="0"/>
      <w:bCs w:val="0"/>
      <w:i w:val="0"/>
      <w:iCs w:val="0"/>
      <w:smallCaps w:val="0"/>
      <w:strike w:val="0"/>
      <w:sz w:val="17"/>
      <w:szCs w:val="17"/>
      <w:u w:val="none"/>
    </w:rPr>
  </w:style>
  <w:style w:type="character" w:customStyle="1" w:styleId="GvdemetniKaln">
    <w:name w:val="Gövde metni + Kalın"/>
    <w:basedOn w:val="Gvdemetni"/>
    <w:rsid w:val="00ED1B4C"/>
    <w:rPr>
      <w:b/>
      <w:bCs/>
      <w:color w:val="000000"/>
      <w:spacing w:val="0"/>
      <w:w w:val="100"/>
      <w:position w:val="0"/>
      <w:lang w:val="tr-TR"/>
    </w:rPr>
  </w:style>
  <w:style w:type="character" w:customStyle="1" w:styleId="Gvdemetni5KalnDeil">
    <w:name w:val="Gövde metni (5) + Kalın Değil"/>
    <w:basedOn w:val="Gvdemetni5"/>
    <w:rsid w:val="00ED1B4C"/>
    <w:rPr>
      <w:b/>
      <w:bCs/>
      <w:color w:val="000000"/>
      <w:spacing w:val="0"/>
      <w:w w:val="100"/>
      <w:position w:val="0"/>
      <w:lang w:val="tr-TR"/>
    </w:rPr>
  </w:style>
  <w:style w:type="character" w:customStyle="1" w:styleId="Balk1">
    <w:name w:val="Başlık #1_"/>
    <w:basedOn w:val="VarsaylanParagrafYazTipi"/>
    <w:link w:val="Balk10"/>
    <w:rsid w:val="00ED1B4C"/>
    <w:rPr>
      <w:rFonts w:ascii="Arial Narrow" w:eastAsia="Arial Narrow" w:hAnsi="Arial Narrow" w:cs="Arial Narrow"/>
      <w:b/>
      <w:bCs/>
      <w:i w:val="0"/>
      <w:iCs w:val="0"/>
      <w:smallCaps w:val="0"/>
      <w:strike w:val="0"/>
      <w:sz w:val="20"/>
      <w:szCs w:val="20"/>
      <w:u w:val="none"/>
    </w:rPr>
  </w:style>
  <w:style w:type="character" w:customStyle="1" w:styleId="Balk11">
    <w:name w:val="Başlık #1"/>
    <w:basedOn w:val="Balk1"/>
    <w:rsid w:val="00ED1B4C"/>
    <w:rPr>
      <w:color w:val="FFFFFF"/>
      <w:spacing w:val="0"/>
      <w:w w:val="100"/>
      <w:position w:val="0"/>
      <w:lang w:val="tr-TR"/>
    </w:rPr>
  </w:style>
  <w:style w:type="paragraph" w:customStyle="1" w:styleId="Gvdemetni3">
    <w:name w:val="Gövde metni (3)"/>
    <w:basedOn w:val="Normal"/>
    <w:link w:val="Gvdemetni3Exact"/>
    <w:rsid w:val="00ED1B4C"/>
    <w:pPr>
      <w:shd w:val="clear" w:color="auto" w:fill="FFFFFF"/>
      <w:spacing w:line="154" w:lineRule="exact"/>
      <w:jc w:val="both"/>
    </w:pPr>
    <w:rPr>
      <w:b/>
      <w:bCs/>
      <w:spacing w:val="-24"/>
      <w:sz w:val="23"/>
      <w:szCs w:val="23"/>
    </w:rPr>
  </w:style>
  <w:style w:type="paragraph" w:customStyle="1" w:styleId="Gvdemetni4">
    <w:name w:val="Gövde metni (4)"/>
    <w:basedOn w:val="Normal"/>
    <w:link w:val="Gvdemetni4Exact"/>
    <w:rsid w:val="00ED1B4C"/>
    <w:pPr>
      <w:shd w:val="clear" w:color="auto" w:fill="FFFFFF"/>
      <w:spacing w:line="0" w:lineRule="atLeast"/>
    </w:pPr>
    <w:rPr>
      <w:rFonts w:ascii="Arial Narrow" w:eastAsia="Arial Narrow" w:hAnsi="Arial Narrow" w:cs="Arial Narrow"/>
      <w:sz w:val="20"/>
      <w:szCs w:val="20"/>
    </w:rPr>
  </w:style>
  <w:style w:type="paragraph" w:customStyle="1" w:styleId="Gvdemetni20">
    <w:name w:val="Gövde metni (2)"/>
    <w:basedOn w:val="Normal"/>
    <w:link w:val="Gvdemetni2"/>
    <w:rsid w:val="00ED1B4C"/>
    <w:pPr>
      <w:shd w:val="clear" w:color="auto" w:fill="FFFFFF"/>
      <w:spacing w:after="60" w:line="0" w:lineRule="atLeast"/>
    </w:pPr>
    <w:rPr>
      <w:rFonts w:ascii="Arial Narrow" w:eastAsia="Arial Narrow" w:hAnsi="Arial Narrow" w:cs="Arial Narrow"/>
      <w:b/>
      <w:bCs/>
    </w:rPr>
  </w:style>
  <w:style w:type="paragraph" w:customStyle="1" w:styleId="Gvdemetni50">
    <w:name w:val="Gövde metni (5)"/>
    <w:basedOn w:val="Normal"/>
    <w:link w:val="Gvdemetni5"/>
    <w:rsid w:val="00ED1B4C"/>
    <w:pPr>
      <w:shd w:val="clear" w:color="auto" w:fill="FFFFFF"/>
      <w:spacing w:line="202" w:lineRule="exact"/>
      <w:ind w:firstLine="160"/>
      <w:jc w:val="both"/>
    </w:pPr>
    <w:rPr>
      <w:rFonts w:ascii="Arial Narrow" w:eastAsia="Arial Narrow" w:hAnsi="Arial Narrow" w:cs="Arial Narrow"/>
      <w:b/>
      <w:bCs/>
      <w:sz w:val="17"/>
      <w:szCs w:val="17"/>
    </w:rPr>
  </w:style>
  <w:style w:type="paragraph" w:customStyle="1" w:styleId="Gvdemetni0">
    <w:name w:val="Gövde metni"/>
    <w:basedOn w:val="Normal"/>
    <w:link w:val="Gvdemetni"/>
    <w:rsid w:val="00ED1B4C"/>
    <w:pPr>
      <w:shd w:val="clear" w:color="auto" w:fill="FFFFFF"/>
      <w:spacing w:line="202" w:lineRule="exact"/>
      <w:jc w:val="both"/>
    </w:pPr>
    <w:rPr>
      <w:rFonts w:ascii="Arial Narrow" w:eastAsia="Arial Narrow" w:hAnsi="Arial Narrow" w:cs="Arial Narrow"/>
      <w:sz w:val="17"/>
      <w:szCs w:val="17"/>
    </w:rPr>
  </w:style>
  <w:style w:type="paragraph" w:customStyle="1" w:styleId="Balk10">
    <w:name w:val="Başlık #1"/>
    <w:basedOn w:val="Normal"/>
    <w:link w:val="Balk1"/>
    <w:rsid w:val="00ED1B4C"/>
    <w:pPr>
      <w:shd w:val="clear" w:color="auto" w:fill="FFFFFF"/>
      <w:spacing w:line="0" w:lineRule="atLeast"/>
      <w:outlineLvl w:val="0"/>
    </w:pPr>
    <w:rPr>
      <w:rFonts w:ascii="Arial Narrow" w:eastAsia="Arial Narrow" w:hAnsi="Arial Narrow" w:cs="Arial Narrow"/>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q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2012-07-12T10:16:00Z</dcterms:created>
  <dcterms:modified xsi:type="dcterms:W3CDTF">2012-07-12T10:16:00Z</dcterms:modified>
</cp:coreProperties>
</file>