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100"/>
      </w:pPr>
      <w:r>
        <w:t>DOSYA NO: 2010/1056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20"/>
        <w:jc w:val="center"/>
      </w:pPr>
      <w:r>
        <w:t xml:space="preserve">SARAYKÖY 1. İCRA DAİRESİNDEN TAŞINMAZIN AÇIK ARTTIRMA İLANI Satılmasına karar verilen taşınmazın cinsi, niteliği, kıymeti, </w:t>
      </w:r>
      <w:proofErr w:type="gramStart"/>
      <w:r>
        <w:t>adeti</w:t>
      </w:r>
      <w:proofErr w:type="gramEnd"/>
      <w:r>
        <w:t>, önemli özellikleri: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100" w:right="180" w:firstLine="700"/>
        <w:jc w:val="left"/>
      </w:pPr>
      <w:r>
        <w:t xml:space="preserve">Denizli ili Sarayköy ilçesi Tosunlar köyü </w:t>
      </w:r>
      <w:proofErr w:type="spellStart"/>
      <w:r>
        <w:t>köyiçi</w:t>
      </w:r>
      <w:proofErr w:type="spellEnd"/>
      <w:r>
        <w:t xml:space="preserve"> mevki 1402 parselde kayıtlı 99.327 </w:t>
      </w:r>
      <w:r>
        <w:rPr>
          <w:rStyle w:val="Gvdemetnitalik0ptbolukbraklyor"/>
        </w:rPr>
        <w:t>m2</w:t>
      </w:r>
      <w:r>
        <w:t xml:space="preserve"> miktarlı tam hisseli taşınmaz olup taşınmaz tapuda arsa olarak kayıtlıdır. Taşın</w:t>
      </w:r>
      <w:r>
        <w:softHyphen/>
        <w:t>maz içersinde Tosunlar Belediyesinden kiralanmış ve üzerine sera kurulmuştur. Taşın</w:t>
      </w:r>
      <w:r>
        <w:softHyphen/>
        <w:t xml:space="preserve">mazın tamamı üzerinde müstakil ve daimi nitelikli olarak </w:t>
      </w:r>
      <w:proofErr w:type="spellStart"/>
      <w:r>
        <w:t>Smyra</w:t>
      </w:r>
      <w:proofErr w:type="spellEnd"/>
      <w:r>
        <w:t xml:space="preserve"> Organik Tarım San ve tic.</w:t>
      </w:r>
      <w:r>
        <w:t xml:space="preserve"> A.Ş. Lehine 30 yıl müddetle üst hakkı bulunmaktadır. Taşınmazın tahmini değeri 1.241.587,50 </w:t>
      </w:r>
      <w:proofErr w:type="spellStart"/>
      <w:r>
        <w:t>tl</w:t>
      </w:r>
      <w:proofErr w:type="spellEnd"/>
      <w:r>
        <w:t xml:space="preserve">. </w:t>
      </w:r>
      <w:proofErr w:type="spellStart"/>
      <w:r>
        <w:t>Dir</w:t>
      </w:r>
      <w:proofErr w:type="spellEnd"/>
      <w:r>
        <w:t>. Satışı saat 11.00-11.10 arasıdır.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100" w:right="3360"/>
        <w:jc w:val="left"/>
      </w:pPr>
      <w:r>
        <w:t>İMAR DURUMU DOSYASINDADIR SATIŞ ŞARTLARI: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tabs>
          <w:tab w:val="left" w:pos="4617"/>
          <w:tab w:val="left" w:pos="6062"/>
        </w:tabs>
        <w:ind w:left="100" w:right="20" w:firstLine="700"/>
      </w:pPr>
      <w:r>
        <w:t>Taşınmazlar 10.12.2012 günü saat 11.00-11.10 arasında SARAYKÖY İCRA MÜDÜRLÜĞÜN</w:t>
      </w:r>
      <w:r>
        <w:t xml:space="preserve">DE açık artırma suretiyle </w:t>
      </w:r>
      <w:proofErr w:type="gramStart"/>
      <w:r>
        <w:t>yapılacaktır.Bu</w:t>
      </w:r>
      <w:proofErr w:type="gramEnd"/>
      <w:r>
        <w:t xml:space="preserve"> artırmada taşınmazın tahmin edilen değerinin %60'm bulması ve satış </w:t>
      </w:r>
      <w:proofErr w:type="spellStart"/>
      <w:r>
        <w:t>istiyenin</w:t>
      </w:r>
      <w:proofErr w:type="spellEnd"/>
      <w:r>
        <w:t xml:space="preserve"> alacağına rüçhanı olan alacakların toplamından fazla olması ve bundan başka paraya çevirme ve paylaştırma masraflarını | geçmesi lazımdı</w:t>
      </w:r>
      <w:r>
        <w:t xml:space="preserve">r. Böyle bir bedelle alıcı çıkmaz ise en çok artıranın taahhüdü baki kalmak I şartıyla 20.12.2012 günü aynı yer ve saatlerde ikinci artırmaya çıkılacaktır. Bu artırmada Ş bu miktar elde </w:t>
      </w:r>
      <w:proofErr w:type="gramStart"/>
      <w:r>
        <w:t>edilmemişse , taşınmaz</w:t>
      </w:r>
      <w:proofErr w:type="gramEnd"/>
      <w:r>
        <w:t xml:space="preserve"> en çok artıranın taahhüdü saklı kalmak üzere j </w:t>
      </w:r>
      <w:r>
        <w:t>|, artırma ilanında gösterilen süre sonunda en çok artırana ihale edilecektir . Ş u kadarki, 1 j</w:t>
      </w:r>
      <w:r>
        <w:rPr>
          <w:rStyle w:val="Gvdemetnitalik0ptbolukbraklyor"/>
        </w:rPr>
        <w:t>:</w:t>
      </w:r>
      <w:r>
        <w:t xml:space="preserve"> artırma bedelinin malın tahmin edilen kıymetinin %40'nı bulması ve satış </w:t>
      </w:r>
      <w:proofErr w:type="spellStart"/>
      <w:r>
        <w:t>istiyenin</w:t>
      </w:r>
      <w:proofErr w:type="spellEnd"/>
      <w:r>
        <w:t xml:space="preserve"> ala- | i* cağına rüçhanı olan alacakların toplamından fazla olması ve bunda</w:t>
      </w:r>
      <w:r>
        <w:t xml:space="preserve">n başka paraya çevirme j </w:t>
      </w:r>
      <w:proofErr w:type="spellStart"/>
      <w:r>
        <w:t>jj</w:t>
      </w:r>
      <w:proofErr w:type="spellEnd"/>
      <w:r>
        <w:t xml:space="preserve"> ve paylaştırma masraflarını geçmesi lazımdır. Böyle bir bedelle alıcı çıkmazsa satış talebi § düşecektir.</w:t>
      </w:r>
      <w:r>
        <w:tab/>
        <w:t>_ •*</w:t>
      </w:r>
      <w:r>
        <w:tab/>
        <w:t>§</w:t>
      </w:r>
    </w:p>
    <w:p w:rsidR="00C95109" w:rsidRDefault="00CD5AAB">
      <w:pPr>
        <w:pStyle w:val="Gvdemetni0"/>
        <w:framePr w:w="6029" w:h="10527" w:hRule="exact" w:wrap="none" w:vAnchor="page" w:hAnchor="page" w:x="1153" w:y="831"/>
        <w:numPr>
          <w:ilvl w:val="0"/>
          <w:numId w:val="1"/>
        </w:numPr>
        <w:shd w:val="clear" w:color="auto" w:fill="auto"/>
        <w:tabs>
          <w:tab w:val="left" w:pos="268"/>
        </w:tabs>
        <w:ind w:left="100" w:right="20"/>
      </w:pPr>
      <w:r>
        <w:t xml:space="preserve">Arttırmaya iştirak edeceklerin, tahmin edilen </w:t>
      </w:r>
      <w:proofErr w:type="spellStart"/>
      <w:r>
        <w:t>cleğerin</w:t>
      </w:r>
      <w:proofErr w:type="spellEnd"/>
      <w:r>
        <w:t xml:space="preserve"> % 20 si oranında pey akçesi veya j W miktar kadar banka temi</w:t>
      </w:r>
      <w:r>
        <w:t xml:space="preserve">nat mektubu vermeleri lazımdır. Satış peşin para iledir, alıcı | istediğinde 10 günü geçmemek üzere süre verilebilir. KDV, ihale damga pulu, tapu alım &gt; harcı ve masrafları alıcıya aittir. </w:t>
      </w:r>
      <w:proofErr w:type="gramStart"/>
      <w:r>
        <w:t>Tellaliye</w:t>
      </w:r>
      <w:proofErr w:type="gramEnd"/>
      <w:r>
        <w:t xml:space="preserve"> resmi, birikmiş vergiler satış bedelinden ödenir, i</w:t>
      </w:r>
    </w:p>
    <w:p w:rsidR="00C95109" w:rsidRDefault="00CD5AAB">
      <w:pPr>
        <w:pStyle w:val="Gvdemetni0"/>
        <w:framePr w:w="6029" w:h="10527" w:hRule="exact" w:wrap="none" w:vAnchor="page" w:hAnchor="page" w:x="1153" w:y="831"/>
        <w:numPr>
          <w:ilvl w:val="0"/>
          <w:numId w:val="1"/>
        </w:numPr>
        <w:shd w:val="clear" w:color="auto" w:fill="auto"/>
        <w:tabs>
          <w:tab w:val="left" w:pos="249"/>
        </w:tabs>
        <w:ind w:left="100" w:right="20"/>
        <w:jc w:val="left"/>
      </w:pPr>
      <w:r>
        <w:t xml:space="preserve">Artırmaya iştirak </w:t>
      </w:r>
      <w:proofErr w:type="gramStart"/>
      <w:r>
        <w:t>edeceklerin , taşınmazın</w:t>
      </w:r>
      <w:proofErr w:type="gramEnd"/>
      <w:r>
        <w:t xml:space="preserve"> tahmin edilen değerinin </w:t>
      </w:r>
      <w:r>
        <w:rPr>
          <w:rStyle w:val="Gvdemetnitalik0ptbolukbraklyor"/>
        </w:rPr>
        <w:t>%</w:t>
      </w:r>
      <w:r>
        <w:t xml:space="preserve"> 20 si oranında pey | akçesi veya bu miktar kadar banka teminat mektubu vermeleri lazımdır. Satış peşin para iledir, alıcı istediğinde 10 günü geçmemek üzere süre verilebilir. KDV, ihale d</w:t>
      </w:r>
      <w:r>
        <w:t>amga ver</w:t>
      </w:r>
      <w:r>
        <w:softHyphen/>
        <w:t xml:space="preserve">gisi, tapu alım harcı ve masrafları alıcıya aittir. </w:t>
      </w:r>
      <w:proofErr w:type="gramStart"/>
      <w:r>
        <w:t>Tellaliye</w:t>
      </w:r>
      <w:proofErr w:type="gramEnd"/>
      <w:r>
        <w:t xml:space="preserve"> harcı, birikmiş vergiler satış be</w:t>
      </w:r>
      <w:r>
        <w:softHyphen/>
        <w:t>delinden ödenir.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numPr>
          <w:ilvl w:val="0"/>
          <w:numId w:val="1"/>
        </w:numPr>
        <w:shd w:val="clear" w:color="auto" w:fill="auto"/>
        <w:tabs>
          <w:tab w:val="left" w:pos="258"/>
        </w:tabs>
        <w:ind w:left="100" w:right="20"/>
        <w:jc w:val="left"/>
      </w:pPr>
      <w:r>
        <w:t>İpotek sahibi alacaklılara diğer ilgililerin (*) bu gayrimenkul üzerindeki haklarım özel</w:t>
      </w:r>
      <w:r>
        <w:softHyphen/>
        <w:t>likle faiz ve giderlere dair olan iddialarını</w:t>
      </w:r>
      <w:r>
        <w:t xml:space="preserve"> dayanağı belgeler ile on beş (15) gün içinde Dairemize bildirmeleri lazımdır; aksi </w:t>
      </w:r>
      <w:proofErr w:type="gramStart"/>
      <w:r>
        <w:t>taktirde</w:t>
      </w:r>
      <w:proofErr w:type="gramEnd"/>
      <w:r>
        <w:t xml:space="preserve"> haklan tapu sicil ile sabit olmadıkça paylaş</w:t>
      </w:r>
      <w:r>
        <w:softHyphen/>
        <w:t>madan hariç bırakılacaktır.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numPr>
          <w:ilvl w:val="0"/>
          <w:numId w:val="1"/>
        </w:numPr>
        <w:shd w:val="clear" w:color="auto" w:fill="auto"/>
        <w:tabs>
          <w:tab w:val="left" w:pos="263"/>
        </w:tabs>
        <w:ind w:left="100" w:right="20"/>
        <w:jc w:val="left"/>
      </w:pPr>
      <w:r>
        <w:t>Satış bedeli hemen veya verilen mühlet içinde ödenmezse İcra ve İflas Kanununun 133 üncü m</w:t>
      </w:r>
      <w:r>
        <w:t>addesi gereğince ihale feshedilir. İki ihale arasındaki farktan ve temerrüt faizinden alıcı ve kefilleri mesul tutulacak ve hiçbir hükme hacet kalmadan kendilerinden tahsil edilecektir.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numPr>
          <w:ilvl w:val="0"/>
          <w:numId w:val="1"/>
        </w:numPr>
        <w:shd w:val="clear" w:color="auto" w:fill="auto"/>
        <w:tabs>
          <w:tab w:val="left" w:pos="263"/>
        </w:tabs>
        <w:ind w:left="100" w:right="20"/>
        <w:jc w:val="left"/>
      </w:pPr>
      <w:r>
        <w:t>Şartname, ilan tarihinden itibaren herkesin görebilmesi için Dairede a</w:t>
      </w:r>
      <w:r>
        <w:t xml:space="preserve">çık olup gideri verildiği </w:t>
      </w:r>
      <w:proofErr w:type="gramStart"/>
      <w:r>
        <w:t>taktirde</w:t>
      </w:r>
      <w:proofErr w:type="gramEnd"/>
      <w:r>
        <w:t xml:space="preserve"> isteyen alıcıya bir örneği gönderilebilir.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numPr>
          <w:ilvl w:val="0"/>
          <w:numId w:val="1"/>
        </w:numPr>
        <w:shd w:val="clear" w:color="auto" w:fill="auto"/>
        <w:tabs>
          <w:tab w:val="left" w:pos="254"/>
        </w:tabs>
        <w:ind w:left="100" w:right="20"/>
        <w:jc w:val="left"/>
      </w:pPr>
      <w:r>
        <w:t xml:space="preserve">Satışa iştirak edenlerin şartnameyi görmüş ve içeriğini kabul etmiş sayılacakları, başkaca bilgi almak isteyenlerin 2010/1056 sayılı dosya numarasıyla Müdürlüğümüze başvurmaları </w:t>
      </w:r>
      <w:r>
        <w:t>ilan olunur.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100"/>
      </w:pPr>
      <w:r>
        <w:t>(İ.İ.K.126)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100"/>
      </w:pPr>
      <w:r>
        <w:t xml:space="preserve">(*)İlgililer tabirine irtifak hakkı sahipleri de </w:t>
      </w:r>
      <w:proofErr w:type="gramStart"/>
      <w:r>
        <w:t>dahildir</w:t>
      </w:r>
      <w:proofErr w:type="gramEnd"/>
      <w:r>
        <w:t>.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ind w:left="100" w:right="20"/>
        <w:jc w:val="left"/>
      </w:pPr>
      <w:r>
        <w:t xml:space="preserve">*: Bu örnek, bu Yönetmelikten önceki uygulamada kullanılan Örnek 64’ e karşılık gelmektedir. NOT: Bu </w:t>
      </w:r>
      <w:proofErr w:type="gramStart"/>
      <w:r>
        <w:t>ilan ,tapu</w:t>
      </w:r>
      <w:proofErr w:type="gramEnd"/>
      <w:r>
        <w:t xml:space="preserve"> kaydında adresi bulunmayan ilgililere,</w:t>
      </w:r>
    </w:p>
    <w:p w:rsidR="00C95109" w:rsidRDefault="00CD5AAB">
      <w:pPr>
        <w:pStyle w:val="Gvdemetni0"/>
        <w:framePr w:w="6029" w:h="10527" w:hRule="exact" w:wrap="none" w:vAnchor="page" w:hAnchor="page" w:x="1153" w:y="831"/>
        <w:shd w:val="clear" w:color="auto" w:fill="auto"/>
        <w:tabs>
          <w:tab w:val="left" w:leader="dot" w:pos="5409"/>
        </w:tabs>
        <w:ind w:left="100" w:right="20"/>
        <w:jc w:val="left"/>
      </w:pPr>
      <w:r>
        <w:t xml:space="preserve">Tebligat yapılamayan </w:t>
      </w:r>
      <w:proofErr w:type="gramStart"/>
      <w:r>
        <w:t>ilgililere,adresi</w:t>
      </w:r>
      <w:proofErr w:type="gramEnd"/>
      <w:r>
        <w:t xml:space="preserve"> belirlenemeyen İlgililere tebliğ yerine geçecektir. B</w:t>
      </w:r>
      <w:proofErr w:type="gramStart"/>
      <w:r>
        <w:t>.</w:t>
      </w:r>
      <w:proofErr w:type="gramEnd"/>
      <w:r>
        <w:t xml:space="preserve">: 68084 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lang w:val="en-US"/>
        </w:rPr>
        <w:t xml:space="preserve"> </w:t>
      </w:r>
    </w:p>
    <w:p w:rsidR="00C95109" w:rsidRDefault="00C95109">
      <w:pPr>
        <w:rPr>
          <w:sz w:val="2"/>
          <w:szCs w:val="2"/>
        </w:rPr>
      </w:pPr>
    </w:p>
    <w:sectPr w:rsidR="00C95109" w:rsidSect="00C95109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AB" w:rsidRDefault="00CD5AAB" w:rsidP="00C95109">
      <w:r>
        <w:separator/>
      </w:r>
    </w:p>
  </w:endnote>
  <w:endnote w:type="continuationSeparator" w:id="0">
    <w:p w:rsidR="00CD5AAB" w:rsidRDefault="00CD5AAB" w:rsidP="00C9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AB" w:rsidRDefault="00CD5AAB"/>
  </w:footnote>
  <w:footnote w:type="continuationSeparator" w:id="0">
    <w:p w:rsidR="00CD5AAB" w:rsidRDefault="00CD5A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770"/>
    <w:multiLevelType w:val="multilevel"/>
    <w:tmpl w:val="CE481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5109"/>
    <w:rsid w:val="0033645A"/>
    <w:rsid w:val="00C95109"/>
    <w:rsid w:val="00C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10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95109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sid w:val="00C95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Gvdemetnitalik0ptbolukbraklyor">
    <w:name w:val="Gövde metni + İtalik;0 pt boşluk bırakılıyor"/>
    <w:basedOn w:val="Gvdemetni"/>
    <w:rsid w:val="00C95109"/>
    <w:rPr>
      <w:i/>
      <w:iCs/>
      <w:color w:val="000000"/>
      <w:spacing w:val="1"/>
      <w:w w:val="100"/>
      <w:position w:val="0"/>
      <w:lang w:val="tr-TR"/>
    </w:rPr>
  </w:style>
  <w:style w:type="character" w:customStyle="1" w:styleId="Gvdemetni85ptKaln0ptbolukbraklyor">
    <w:name w:val="Gövde metni + 8;5 pt;Kalın;0 pt boşluk bırakılıyor"/>
    <w:basedOn w:val="Gvdemetni"/>
    <w:rsid w:val="00C95109"/>
    <w:rPr>
      <w:b/>
      <w:bCs/>
      <w:strike/>
      <w:color w:val="000000"/>
      <w:spacing w:val="-10"/>
      <w:w w:val="100"/>
      <w:position w:val="0"/>
      <w:sz w:val="17"/>
      <w:szCs w:val="17"/>
      <w:lang w:val="tr-TR"/>
    </w:rPr>
  </w:style>
  <w:style w:type="character" w:customStyle="1" w:styleId="Gvdemetni85ptKaln0ptbolukbraklyor0">
    <w:name w:val="Gövde metni + 8;5 pt;Kalın;0 pt boşluk bırakılıyor"/>
    <w:basedOn w:val="Gvdemetni"/>
    <w:rsid w:val="00C95109"/>
    <w:rPr>
      <w:b/>
      <w:bCs/>
      <w:color w:val="000000"/>
      <w:spacing w:val="-10"/>
      <w:w w:val="100"/>
      <w:position w:val="0"/>
      <w:sz w:val="17"/>
      <w:szCs w:val="17"/>
      <w:lang w:val="tr-TR"/>
    </w:rPr>
  </w:style>
  <w:style w:type="character" w:customStyle="1" w:styleId="Gvdemetni85ptKaln0ptbolukbraklyor1">
    <w:name w:val="Gövde metni + 8;5 pt;Kalın;0 pt boşluk bırakılıyor"/>
    <w:basedOn w:val="Gvdemetni"/>
    <w:rsid w:val="00C95109"/>
    <w:rPr>
      <w:b/>
      <w:bCs/>
      <w:strike/>
      <w:color w:val="000000"/>
      <w:spacing w:val="-10"/>
      <w:w w:val="100"/>
      <w:position w:val="0"/>
      <w:sz w:val="17"/>
      <w:szCs w:val="17"/>
      <w:u w:val="single"/>
      <w:lang w:val="tr-TR"/>
    </w:rPr>
  </w:style>
  <w:style w:type="character" w:customStyle="1" w:styleId="Gvdemetni85ptKaln0ptbolukbraklyor2">
    <w:name w:val="Gövde metni + 8;5 pt;Kalın;0 pt boşluk bırakılıyor"/>
    <w:basedOn w:val="Gvdemetni"/>
    <w:rsid w:val="00C95109"/>
    <w:rPr>
      <w:b/>
      <w:bCs/>
      <w:color w:val="000000"/>
      <w:spacing w:val="-10"/>
      <w:w w:val="100"/>
      <w:position w:val="0"/>
      <w:sz w:val="17"/>
      <w:szCs w:val="17"/>
      <w:u w:val="single"/>
      <w:lang w:val="tr-TR"/>
    </w:rPr>
  </w:style>
  <w:style w:type="character" w:customStyle="1" w:styleId="Gvdemetni12ptKalntalik0ptbolukbraklyor">
    <w:name w:val="Gövde metni + 12 pt;Kalın;İtalik;0 pt boşluk bırakılıyor"/>
    <w:basedOn w:val="Gvdemetni"/>
    <w:rsid w:val="00C95109"/>
    <w:rPr>
      <w:b/>
      <w:bCs/>
      <w:i/>
      <w:iCs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Gvdemetni0">
    <w:name w:val="Gövde metni"/>
    <w:basedOn w:val="Normal"/>
    <w:link w:val="Gvdemetni"/>
    <w:rsid w:val="00C95109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pacing w:val="-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2012-11-04T08:42:00Z</dcterms:created>
  <dcterms:modified xsi:type="dcterms:W3CDTF">2012-11-04T08:43:00Z</dcterms:modified>
</cp:coreProperties>
</file>