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230"/>
        <w:gridCol w:w="6499"/>
        <w:gridCol w:w="264"/>
      </w:tblGrid>
      <w:tr w:rsidR="001E69EA">
        <w:trPr>
          <w:trHeight w:hRule="exact" w:val="254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GvdemetniArial11ptKaln-1ptbolukbraklyor"/>
              </w:rPr>
              <w:t>BODRUM 2. İCRA MUDURLUGLFNDEN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93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GvdemetniArial11ptKaln-1ptbolukbraklyor"/>
              </w:rPr>
              <w:t>TAŞINMAZIN ARTIRMA İLANI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40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GvdemetniArial75ptKaln"/>
              </w:rPr>
              <w:t>Dosya No: 2011/346 Esas örnek No:27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0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GvdemetniArial75ptKaln"/>
              </w:rPr>
              <w:t>Satılmasına Karar Verilen Taşınmazın Cinsi, Niteliği, Kıymeti ve önemli özellikleri: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379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GvdemetniArial75ptKaln"/>
              </w:rPr>
              <w:t xml:space="preserve">- Tapu Kaydı: </w:t>
            </w:r>
            <w:r>
              <w:rPr>
                <w:rStyle w:val="GvdemetniArial75pt"/>
              </w:rPr>
              <w:t xml:space="preserve">Muğla ili, Bodrum ilçesi, </w:t>
            </w:r>
            <w:proofErr w:type="spellStart"/>
            <w:r>
              <w:rPr>
                <w:rStyle w:val="GvdemetniArial75pt"/>
              </w:rPr>
              <w:t>Eskiçeşme</w:t>
            </w:r>
            <w:proofErr w:type="spellEnd"/>
            <w:r>
              <w:rPr>
                <w:rStyle w:val="GvdemetniArial75pt"/>
              </w:rPr>
              <w:t xml:space="preserve"> mah, </w:t>
            </w:r>
            <w:proofErr w:type="spellStart"/>
            <w:r>
              <w:rPr>
                <w:rStyle w:val="GvdemetniArial75pt"/>
              </w:rPr>
              <w:t>Gümbet</w:t>
            </w:r>
            <w:proofErr w:type="spellEnd"/>
            <w:r>
              <w:rPr>
                <w:rStyle w:val="GvdemetniArial75pt"/>
              </w:rPr>
              <w:t xml:space="preserve"> mevkii, 302 ada, 1 parselde kayıtlı, 3.517,00 m2 alanlı 11 bloğu tamam, 2 bloğu natamam binalar ve arsalı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GvdemetniArial75pt"/>
              </w:rPr>
              <w:t>ana</w:t>
            </w:r>
            <w:proofErr w:type="gramEnd"/>
            <w:r>
              <w:rPr>
                <w:rStyle w:val="GvdemetniArial75pt"/>
              </w:rPr>
              <w:t xml:space="preserve"> taşınmaz üzerinde 76/3517 arsa paylı, 11. Blok, 1. kat, 3 bağımsız bölüm numaralı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both"/>
            </w:pPr>
            <w:proofErr w:type="gramStart"/>
            <w:r>
              <w:rPr>
                <w:rStyle w:val="GvdemetniArial75pt"/>
              </w:rPr>
              <w:t>mesken</w:t>
            </w:r>
            <w:proofErr w:type="gramEnd"/>
            <w:r>
              <w:rPr>
                <w:rStyle w:val="GvdemetniArial75pt"/>
              </w:rPr>
              <w:t>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7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GvdemetniArial75ptKaln"/>
              </w:rPr>
              <w:t xml:space="preserve">Hali Hazır Durumu: </w:t>
            </w:r>
            <w:r>
              <w:rPr>
                <w:rStyle w:val="GvdemetniArial75pt"/>
              </w:rPr>
              <w:t>Satışa konu taşınmaz Bodrum merkeze yaklaşık 2,5 km mesafededir.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proofErr w:type="spellStart"/>
            <w:r>
              <w:rPr>
                <w:rStyle w:val="GvdemetniArial75pt"/>
              </w:rPr>
              <w:t>Gümbet</w:t>
            </w:r>
            <w:proofErr w:type="spellEnd"/>
            <w:r>
              <w:rPr>
                <w:rStyle w:val="GvdemetniArial75pt"/>
              </w:rPr>
              <w:t xml:space="preserve"> mevkiinde 65 </w:t>
            </w:r>
            <w:proofErr w:type="spellStart"/>
            <w:r>
              <w:rPr>
                <w:rStyle w:val="GvdemetniArial75pt"/>
              </w:rPr>
              <w:t>Evier</w:t>
            </w:r>
            <w:proofErr w:type="spellEnd"/>
            <w:r>
              <w:rPr>
                <w:rStyle w:val="GvdemetniArial75pt"/>
              </w:rPr>
              <w:t xml:space="preserve"> Sitesi olarak bilinen sitede yer almaktadır. Civar parsellerde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GvdemetniArial75pt"/>
              </w:rPr>
              <w:t>yapılaşma</w:t>
            </w:r>
            <w:proofErr w:type="gramEnd"/>
            <w:r>
              <w:rPr>
                <w:rStyle w:val="GvdemetniArial75pt"/>
              </w:rPr>
              <w:t xml:space="preserve"> mevcut olup, konut ve turizm amaçlı kullanılan binalar bulunmaktadır. Bodrum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384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92" w:lineRule="exact"/>
              <w:jc w:val="both"/>
            </w:pPr>
            <w:proofErr w:type="gramStart"/>
            <w:r>
              <w:rPr>
                <w:rStyle w:val="GvdemetniArial75pt"/>
              </w:rPr>
              <w:t>belediyesinin</w:t>
            </w:r>
            <w:proofErr w:type="gramEnd"/>
            <w:r>
              <w:rPr>
                <w:rStyle w:val="GvdemetniArial75pt"/>
              </w:rPr>
              <w:t xml:space="preserve"> tüm altyapı hizmetlerinden faydalanmaktadır. Bina betonarme tarzda inşa edilmiştir. Dışarıdan görüldüğü kadarı ile zemin katta ayrı bir daire vardır. Taşınmazın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78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both"/>
            </w:pPr>
            <w:proofErr w:type="gramStart"/>
            <w:r>
              <w:rPr>
                <w:rStyle w:val="GvdemetniArial75pt"/>
              </w:rPr>
              <w:t>kısmen</w:t>
            </w:r>
            <w:proofErr w:type="gramEnd"/>
            <w:r>
              <w:rPr>
                <w:rStyle w:val="GvdemetniArial75pt"/>
              </w:rPr>
              <w:t xml:space="preserve"> deniz manzarası bulunmaktadır. Toplam inşaat alanı 75,00 m2 </w:t>
            </w:r>
            <w:proofErr w:type="spellStart"/>
            <w:r>
              <w:rPr>
                <w:rStyle w:val="GvdemetniArial75pt"/>
              </w:rPr>
              <w:t>dir</w:t>
            </w:r>
            <w:proofErr w:type="spellEnd"/>
            <w:r>
              <w:rPr>
                <w:rStyle w:val="GvdemetniArial75pt"/>
              </w:rPr>
              <w:t>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749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GvdemetniArial75ptKaln"/>
              </w:rPr>
              <w:t xml:space="preserve">İmar Durumu: </w:t>
            </w:r>
            <w:r>
              <w:rPr>
                <w:rStyle w:val="GvdemetniArial75pt"/>
              </w:rPr>
              <w:t>Parselin bulunduğu bölge %20-40 yoğunluklu konut alanında kalmaktadır. Ayrıca II. Derece etkileme geçiş alanı kapsamında kalmaktadır. Parsel imar uygulaması sonucu oluşmuş net imar parselidir.</w:t>
            </w:r>
          </w:p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GvdemetniArial75ptKaln"/>
              </w:rPr>
              <w:t>Muhammen Bedeli: 180.000,00 TL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vMerge w:val="restart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GvdemetniArial75ptKaln"/>
              </w:rPr>
              <w:t>K.D.V Oranı: %1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7"/>
          <w:jc w:val="center"/>
        </w:trPr>
        <w:tc>
          <w:tcPr>
            <w:tcW w:w="768" w:type="dxa"/>
            <w:vMerge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GvdemetniArial75ptKaln"/>
              </w:rPr>
              <w:t xml:space="preserve">Satış Saati: </w:t>
            </w:r>
            <w:proofErr w:type="gramStart"/>
            <w:r>
              <w:rPr>
                <w:rStyle w:val="GvdemetniArial75ptKaln"/>
              </w:rPr>
              <w:t>10:30</w:t>
            </w:r>
            <w:proofErr w:type="gramEnd"/>
            <w:r>
              <w:rPr>
                <w:rStyle w:val="GvdemetniArial75ptKaln"/>
              </w:rPr>
              <w:t xml:space="preserve"> -10:35 Arası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GvdemetniArial75ptKaln"/>
              </w:rPr>
              <w:t>Satış Şartları: 1- Satış 27.08.2012 günü yukarıda belirtilen saatler arasında Bodrum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0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GvdemetniArial75ptKaln"/>
              </w:rPr>
              <w:t xml:space="preserve">2. İcra Müdürlüğü önü (Koridor) - Bodrum Adliyesi </w:t>
            </w:r>
            <w:proofErr w:type="spellStart"/>
            <w:r>
              <w:rPr>
                <w:rStyle w:val="GvdemetniArial75ptKaln"/>
              </w:rPr>
              <w:t>Bitez</w:t>
            </w:r>
            <w:proofErr w:type="spellEnd"/>
            <w:r>
              <w:rPr>
                <w:rStyle w:val="GvdemetniArial75ptKaln"/>
              </w:rPr>
              <w:t xml:space="preserve"> - BODRUM adresinde açık artırma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7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GvdemetniArial75pt"/>
              </w:rPr>
              <w:t>suretiyle</w:t>
            </w:r>
            <w:proofErr w:type="gramEnd"/>
            <w:r>
              <w:rPr>
                <w:rStyle w:val="GvdemetniArial75pt"/>
              </w:rPr>
              <w:t xml:space="preserve"> yapılacaktır. Bu artırmada tahmin edilen değerin %60'ını ve rüçhanlı alacaklılar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GvdemetniArial75pt"/>
              </w:rPr>
              <w:t>varsa</w:t>
            </w:r>
            <w:proofErr w:type="gramEnd"/>
            <w:r>
              <w:rPr>
                <w:rStyle w:val="GvdemetniArial75pt"/>
              </w:rPr>
              <w:t xml:space="preserve"> alacakları toplamını ve satış ve paylaştırma giderlerini geçmek şartı ile ihale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78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GvdemetniArial75pt"/>
              </w:rPr>
              <w:t>olunur</w:t>
            </w:r>
            <w:proofErr w:type="gramEnd"/>
            <w:r>
              <w:rPr>
                <w:rStyle w:val="GvdemetniArial75pt"/>
              </w:rPr>
              <w:t xml:space="preserve">. Böyle bir bedele alıcı çıkmazsa en çok artıranın taahhüdü saklı kalmak </w:t>
            </w:r>
            <w:proofErr w:type="spellStart"/>
            <w:r>
              <w:rPr>
                <w:rStyle w:val="GvdemetniArial75pt"/>
              </w:rPr>
              <w:t>şartiyle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  <w:r>
              <w:rPr>
                <w:rStyle w:val="GvdemetniArial75ptKaln"/>
              </w:rPr>
              <w:t xml:space="preserve">06.09.2012 günü Bodrum 2. icra Müdürlüğü önü (Koridor) - Bodrum Adliyesi </w:t>
            </w:r>
            <w:proofErr w:type="spellStart"/>
            <w:r>
              <w:rPr>
                <w:rStyle w:val="GvdemetniArial75ptKaln"/>
              </w:rPr>
              <w:t>Bitez</w:t>
            </w:r>
            <w:proofErr w:type="spellEnd"/>
            <w:r>
              <w:rPr>
                <w:rStyle w:val="GvdemetniArial75ptKaln"/>
              </w:rPr>
              <w:t xml:space="preserve"> -</w:t>
            </w: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Kaln"/>
              </w:rPr>
              <w:t xml:space="preserve">BODRUM adresinde yukarıda belirtilen saatler arasında ikinci artırmaya </w:t>
            </w:r>
            <w:r>
              <w:rPr>
                <w:rStyle w:val="GvdemetniArial75pt"/>
              </w:rPr>
              <w:t>çıkarılacaktır. Bu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artırmada</w:t>
            </w:r>
            <w:proofErr w:type="gramEnd"/>
            <w:r>
              <w:rPr>
                <w:rStyle w:val="GvdemetniArial75pt"/>
              </w:rPr>
              <w:t xml:space="preserve"> da rüçhanlı alacaklıların alacağını ve satış giderlerini geçmesi şartıyla en çok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artırana</w:t>
            </w:r>
            <w:proofErr w:type="gramEnd"/>
            <w:r>
              <w:rPr>
                <w:rStyle w:val="GvdemetniArial75pt"/>
              </w:rPr>
              <w:t xml:space="preserve"> ihale olunur. Şu kadar ki, artırma bedelinin malın tahmin edilen kıymetinin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90" w:lineRule="exact"/>
              <w:ind w:right="20"/>
              <w:jc w:val="right"/>
            </w:pPr>
            <w:proofErr w:type="gramStart"/>
            <w:r>
              <w:rPr>
                <w:rStyle w:val="GvdemetniTrebuchetMS45pt"/>
              </w:rPr>
              <w:t>i</w:t>
            </w:r>
            <w:proofErr w:type="gramEnd"/>
          </w:p>
        </w:tc>
      </w:tr>
      <w:tr w:rsidR="001E69EA">
        <w:trPr>
          <w:trHeight w:hRule="exact" w:val="197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>% 40’ını bulması ve satış isteyenin alacağına rüçhanı olan alacakların toplamından fazla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proofErr w:type="gramStart"/>
            <w:r>
              <w:rPr>
                <w:rStyle w:val="GvdemetniArial75pt"/>
              </w:rPr>
              <w:t>f</w:t>
            </w:r>
            <w:proofErr w:type="gramEnd"/>
          </w:p>
        </w:tc>
      </w:tr>
      <w:tr w:rsidR="001E69EA">
        <w:trPr>
          <w:trHeight w:hRule="exact" w:val="374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92" w:lineRule="exact"/>
              <w:jc w:val="both"/>
            </w:pPr>
            <w:proofErr w:type="gramStart"/>
            <w:r>
              <w:rPr>
                <w:rStyle w:val="GvdemetniArial75pt"/>
              </w:rPr>
              <w:t>olması</w:t>
            </w:r>
            <w:proofErr w:type="gramEnd"/>
            <w:r>
              <w:rPr>
                <w:rStyle w:val="GvdemetniArial75pt"/>
              </w:rPr>
              <w:t xml:space="preserve"> ve bundan başka paraya çevirme ve paylaştırma masraflarını geçmesi lazımdır. Böyle fazla bedelle alıcı çıkmazsa satış talebi düşecektir.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>2- Artırmaya iştirak edeceklerin, tahmin edilen kıymetin %20'si nispetinde Türk Lirası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peşin</w:t>
            </w:r>
            <w:proofErr w:type="gramEnd"/>
            <w:r>
              <w:rPr>
                <w:rStyle w:val="GvdemetniArial75pt"/>
              </w:rPr>
              <w:t xml:space="preserve"> para veya bu miktar kadar milli bir bankanın teminat mektubunu vermeleri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7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lazımdır</w:t>
            </w:r>
            <w:proofErr w:type="gramEnd"/>
            <w:r>
              <w:rPr>
                <w:rStyle w:val="GvdemetniArial75pt"/>
              </w:rPr>
              <w:t>. Satış peşin para iledir. Alıcı istediğinde 10 günü geçmemek üzere mehil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374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92" w:lineRule="exact"/>
              <w:jc w:val="both"/>
            </w:pPr>
            <w:proofErr w:type="gramStart"/>
            <w:r>
              <w:rPr>
                <w:rStyle w:val="GvdemetniArial75pt"/>
              </w:rPr>
              <w:t>verilebilir</w:t>
            </w:r>
            <w:proofErr w:type="gramEnd"/>
            <w:r>
              <w:rPr>
                <w:rStyle w:val="GvdemetniArial75pt"/>
              </w:rPr>
              <w:t xml:space="preserve">. Tapu Harcı alıcı payı, ihale Damga Vergisi ile K.D.V. alıcıya aittir. Birikmiş vergiler ve </w:t>
            </w:r>
            <w:proofErr w:type="gramStart"/>
            <w:r>
              <w:rPr>
                <w:rStyle w:val="GvdemetniArial75pt"/>
              </w:rPr>
              <w:t>Tellaliye</w:t>
            </w:r>
            <w:proofErr w:type="gramEnd"/>
            <w:r>
              <w:rPr>
                <w:rStyle w:val="GvdemetniArial75pt"/>
              </w:rPr>
              <w:t xml:space="preserve"> Ücreti ve Tapu Harcı satıcı payı satış bedelinden ödenir.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7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>3- ipotek sahibi alacaklılarla diğer ilgililerin (*) bu taşınmaz üzerindeki haklarını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7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hususiyle</w:t>
            </w:r>
            <w:proofErr w:type="gramEnd"/>
            <w:r>
              <w:rPr>
                <w:rStyle w:val="GvdemetniArial75pt"/>
              </w:rPr>
              <w:t xml:space="preserve"> faiz ve masrafa dair olan iddialarını dayanağı belgeler ile on beş gün içinde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dairemize</w:t>
            </w:r>
            <w:proofErr w:type="gramEnd"/>
            <w:r>
              <w:rPr>
                <w:rStyle w:val="GvdemetniArial75pt"/>
              </w:rPr>
              <w:t xml:space="preserve"> bildirmeleri lazımdır. Aksi takdirde hakları tapu sicili ile sabit olmadıkça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7"/>
          <w:jc w:val="center"/>
        </w:trPr>
        <w:tc>
          <w:tcPr>
            <w:tcW w:w="768" w:type="dxa"/>
            <w:vMerge w:val="restart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paylaştırmadan</w:t>
            </w:r>
            <w:proofErr w:type="gramEnd"/>
            <w:r>
              <w:rPr>
                <w:rStyle w:val="GvdemetniArial75pt"/>
              </w:rPr>
              <w:t xml:space="preserve"> hariç bırakılacaktır.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vMerge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>4- İhaleye katılıp daha sonra ihale bedelini yatırmamak sureti ile ihalenin feshine sebep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78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olan</w:t>
            </w:r>
            <w:proofErr w:type="gramEnd"/>
            <w:r>
              <w:rPr>
                <w:rStyle w:val="GvdemetniArial75pt"/>
              </w:rPr>
              <w:t xml:space="preserve"> tüm alıcılar ve kefilleri teklif ettikleri bedel ile son ihale bedeli arasındaki farktan ve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0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diğer</w:t>
            </w:r>
            <w:proofErr w:type="gramEnd"/>
            <w:r>
              <w:rPr>
                <w:rStyle w:val="GvdemetniArial75pt"/>
              </w:rPr>
              <w:t xml:space="preserve"> zararlardan ve ayrıca temerrüt faizinden </w:t>
            </w:r>
            <w:proofErr w:type="spellStart"/>
            <w:r>
              <w:rPr>
                <w:rStyle w:val="GvdemetniArial75pt"/>
              </w:rPr>
              <w:t>müteselsilen</w:t>
            </w:r>
            <w:proofErr w:type="spellEnd"/>
            <w:r>
              <w:rPr>
                <w:rStyle w:val="GvdemetniArial75pt"/>
              </w:rPr>
              <w:t xml:space="preserve"> mesul olacaklardır, ihale farkı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365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92" w:lineRule="exact"/>
              <w:jc w:val="both"/>
            </w:pPr>
            <w:proofErr w:type="gramStart"/>
            <w:r>
              <w:rPr>
                <w:rStyle w:val="GvdemetniArial75pt"/>
              </w:rPr>
              <w:t>ve</w:t>
            </w:r>
            <w:proofErr w:type="gramEnd"/>
            <w:r>
              <w:rPr>
                <w:rStyle w:val="GvdemetniArial75pt"/>
              </w:rPr>
              <w:t xml:space="preserve"> temerrüt faizi ayrıca hükme hacet kalmaksızın Dairemizce tahsil olunacak, bu fark, varsa öncelikle teminat bedelinden alınacaktır.</w:t>
            </w:r>
          </w:p>
        </w:tc>
        <w:tc>
          <w:tcPr>
            <w:tcW w:w="264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0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>5- Şartname, ilan tarihinden itibaren herkesin görebilmesi için dairede açık olup gideri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7"/>
          <w:jc w:val="center"/>
        </w:trPr>
        <w:tc>
          <w:tcPr>
            <w:tcW w:w="768" w:type="dxa"/>
            <w:vMerge w:val="restart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verildiği</w:t>
            </w:r>
            <w:proofErr w:type="gramEnd"/>
            <w:r>
              <w:rPr>
                <w:rStyle w:val="GvdemetniArial75pt"/>
              </w:rPr>
              <w:t xml:space="preserve"> takdirde isteyen alıcıya bir örneği gönderilebilir.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2"/>
          <w:jc w:val="center"/>
        </w:trPr>
        <w:tc>
          <w:tcPr>
            <w:tcW w:w="768" w:type="dxa"/>
            <w:vMerge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>6- Satışa iştirak edenlerin şartnameyi görmüş ve münderecatını kabul etmiş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9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sayılacakları</w:t>
            </w:r>
            <w:proofErr w:type="gramEnd"/>
            <w:r>
              <w:rPr>
                <w:rStyle w:val="GvdemetniArial75pt"/>
              </w:rPr>
              <w:t>, başkaca bilgi almak isteyenlerin yukarıda yazılı dosya numarasıyla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7"/>
          <w:jc w:val="center"/>
        </w:trPr>
        <w:tc>
          <w:tcPr>
            <w:tcW w:w="768" w:type="dxa"/>
            <w:vMerge w:val="restart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müdürlüğümüze</w:t>
            </w:r>
            <w:proofErr w:type="gramEnd"/>
            <w:r>
              <w:rPr>
                <w:rStyle w:val="GvdemetniArial75pt"/>
              </w:rPr>
              <w:t xml:space="preserve"> başvurmaları ilan olunur.20.06.2012</w:t>
            </w:r>
          </w:p>
        </w:tc>
        <w:tc>
          <w:tcPr>
            <w:tcW w:w="264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87"/>
          <w:jc w:val="center"/>
        </w:trPr>
        <w:tc>
          <w:tcPr>
            <w:tcW w:w="768" w:type="dxa"/>
            <w:vMerge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proofErr w:type="gramStart"/>
            <w:r>
              <w:rPr>
                <w:rStyle w:val="GvdemetniArial75pt"/>
              </w:rPr>
              <w:t>iş</w:t>
            </w:r>
            <w:proofErr w:type="gramEnd"/>
            <w:r>
              <w:rPr>
                <w:rStyle w:val="GvdemetniArial75pt"/>
              </w:rPr>
              <w:t xml:space="preserve"> bu ilan tebligat yapılamayan ilgililere tebligat yerine kaim olmak üzere ilan olunur.</w:t>
            </w:r>
          </w:p>
        </w:tc>
        <w:tc>
          <w:tcPr>
            <w:tcW w:w="264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168"/>
          <w:jc w:val="center"/>
        </w:trPr>
        <w:tc>
          <w:tcPr>
            <w:tcW w:w="768" w:type="dxa"/>
            <w:vMerge w:val="restart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"/>
              </w:rPr>
              <w:t xml:space="preserve">("(İlgililer tabirine irtifak hakkı </w:t>
            </w:r>
            <w:proofErr w:type="spellStart"/>
            <w:r>
              <w:rPr>
                <w:rStyle w:val="GvdemetniArial75pt"/>
              </w:rPr>
              <w:t>sahipleride</w:t>
            </w:r>
            <w:proofErr w:type="spellEnd"/>
            <w:r>
              <w:rPr>
                <w:rStyle w:val="GvdemetniArial75pt"/>
              </w:rPr>
              <w:t xml:space="preserve"> </w:t>
            </w:r>
            <w:proofErr w:type="gramStart"/>
            <w:r>
              <w:rPr>
                <w:rStyle w:val="GvdemetniArial75pt"/>
              </w:rPr>
              <w:t>dahildir</w:t>
            </w:r>
            <w:proofErr w:type="gramEnd"/>
            <w:r>
              <w:rPr>
                <w:rStyle w:val="GvdemetniArial75pt"/>
              </w:rPr>
              <w:t>. (</w:t>
            </w:r>
            <w:proofErr w:type="spellStart"/>
            <w:r>
              <w:rPr>
                <w:rStyle w:val="GvdemetniArial75pt"/>
              </w:rPr>
              <w:t>İİKm</w:t>
            </w:r>
            <w:proofErr w:type="spellEnd"/>
            <w:r>
              <w:rPr>
                <w:rStyle w:val="GvdemetniArial75pt"/>
              </w:rPr>
              <w:t>.126)</w:t>
            </w:r>
          </w:p>
        </w:tc>
        <w:tc>
          <w:tcPr>
            <w:tcW w:w="264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202"/>
          <w:jc w:val="center"/>
        </w:trPr>
        <w:tc>
          <w:tcPr>
            <w:tcW w:w="768" w:type="dxa"/>
            <w:vMerge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FE301C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GvdemetniArial75ptKaln"/>
              </w:rPr>
              <w:t xml:space="preserve">(Basın: 41437- </w:t>
            </w:r>
            <w:hyperlink r:id="rId6" w:history="1">
              <w:r>
                <w:rPr>
                  <w:rStyle w:val="Kpr"/>
                  <w:lang w:val="en-US"/>
                </w:rPr>
                <w:t>www.bikgcw.tr</w:t>
              </w:r>
            </w:hyperlink>
            <w:r>
              <w:rPr>
                <w:rStyle w:val="GvdemetniArial75ptKaln"/>
                <w:lang w:val="en-US"/>
              </w:rPr>
              <w:t>)</w:t>
            </w:r>
          </w:p>
        </w:tc>
        <w:tc>
          <w:tcPr>
            <w:tcW w:w="264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9EA">
        <w:trPr>
          <w:trHeight w:hRule="exact" w:val="322"/>
          <w:jc w:val="center"/>
        </w:trPr>
        <w:tc>
          <w:tcPr>
            <w:tcW w:w="768" w:type="dxa"/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120" w:lineRule="exact"/>
              <w:ind w:left="60"/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9EA" w:rsidRDefault="001E69EA">
            <w:pPr>
              <w:pStyle w:val="Gvdemetni0"/>
              <w:framePr w:w="7762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264" w:type="dxa"/>
            <w:shd w:val="clear" w:color="auto" w:fill="FFFFFF"/>
          </w:tcPr>
          <w:p w:rsidR="001E69EA" w:rsidRDefault="001E69EA">
            <w:pPr>
              <w:framePr w:w="77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69EA" w:rsidRDefault="001E69EA">
      <w:pPr>
        <w:rPr>
          <w:sz w:val="2"/>
          <w:szCs w:val="2"/>
        </w:rPr>
      </w:pPr>
    </w:p>
    <w:p w:rsidR="001E69EA" w:rsidRDefault="001E69EA">
      <w:pPr>
        <w:rPr>
          <w:sz w:val="2"/>
          <w:szCs w:val="2"/>
        </w:rPr>
      </w:pPr>
    </w:p>
    <w:sectPr w:rsidR="001E69EA" w:rsidSect="001E69EA">
      <w:type w:val="continuous"/>
      <w:pgSz w:w="11909" w:h="16834"/>
      <w:pgMar w:top="2852" w:right="2069" w:bottom="2852" w:left="20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F0" w:rsidRDefault="005943F0" w:rsidP="001E69EA">
      <w:r>
        <w:separator/>
      </w:r>
    </w:p>
  </w:endnote>
  <w:endnote w:type="continuationSeparator" w:id="0">
    <w:p w:rsidR="005943F0" w:rsidRDefault="005943F0" w:rsidP="001E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F0" w:rsidRDefault="005943F0"/>
  </w:footnote>
  <w:footnote w:type="continuationSeparator" w:id="0">
    <w:p w:rsidR="005943F0" w:rsidRDefault="005943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E69EA"/>
    <w:rsid w:val="001E69EA"/>
    <w:rsid w:val="005943F0"/>
    <w:rsid w:val="006E1F24"/>
    <w:rsid w:val="00BD7D17"/>
    <w:rsid w:val="00BF7110"/>
    <w:rsid w:val="00FE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69EA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E69EA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sid w:val="001E6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Arial11ptKaln-1ptbolukbraklyor">
    <w:name w:val="Gövde metni + Arial;11 pt;Kalın;-1 pt boşluk bırakılıyor"/>
    <w:basedOn w:val="Gvdemetni"/>
    <w:rsid w:val="001E69EA"/>
    <w:rPr>
      <w:rFonts w:ascii="Arial" w:eastAsia="Arial" w:hAnsi="Arial" w:cs="Arial"/>
      <w:b/>
      <w:bCs/>
      <w:color w:val="000000"/>
      <w:spacing w:val="-20"/>
      <w:w w:val="100"/>
      <w:position w:val="0"/>
      <w:sz w:val="22"/>
      <w:szCs w:val="22"/>
      <w:lang w:val="tr-TR"/>
    </w:rPr>
  </w:style>
  <w:style w:type="character" w:customStyle="1" w:styleId="GvdemetniArial75ptKaln">
    <w:name w:val="Gövde metni + Arial;7;5 pt;Kalın"/>
    <w:basedOn w:val="Gvdemetni"/>
    <w:rsid w:val="001E69EA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tr-TR"/>
    </w:rPr>
  </w:style>
  <w:style w:type="character" w:customStyle="1" w:styleId="GvdemetniArial75pt">
    <w:name w:val="Gövde metni + Arial;7;5 pt"/>
    <w:basedOn w:val="Gvdemetni"/>
    <w:rsid w:val="001E69EA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tr-TR"/>
    </w:rPr>
  </w:style>
  <w:style w:type="character" w:customStyle="1" w:styleId="GvdemetniTrebuchetMS45pt">
    <w:name w:val="Gövde metni + Trebuchet MS;4;5 pt"/>
    <w:basedOn w:val="Gvdemetni"/>
    <w:rsid w:val="001E69EA"/>
    <w:rPr>
      <w:rFonts w:ascii="Trebuchet MS" w:eastAsia="Trebuchet MS" w:hAnsi="Trebuchet MS" w:cs="Trebuchet MS"/>
      <w:color w:val="000000"/>
      <w:spacing w:val="0"/>
      <w:w w:val="100"/>
      <w:position w:val="0"/>
      <w:sz w:val="9"/>
      <w:szCs w:val="9"/>
      <w:lang w:val="tr-TR"/>
    </w:rPr>
  </w:style>
  <w:style w:type="character" w:customStyle="1" w:styleId="GvdemetniArial4ptKaln">
    <w:name w:val="Gövde metni + Arial;4 pt;Kalın"/>
    <w:basedOn w:val="Gvdemetni"/>
    <w:rsid w:val="001E69EA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lang w:val="tr-TR"/>
    </w:rPr>
  </w:style>
  <w:style w:type="character" w:customStyle="1" w:styleId="GvdemetniArialNarrow6pttalik0ptbolukbraklyor">
    <w:name w:val="Gövde metni + Arial Narrow;6 pt;İtalik;0 pt boşluk bırakılıyor"/>
    <w:basedOn w:val="Gvdemetni"/>
    <w:rsid w:val="001E69EA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12"/>
      <w:szCs w:val="12"/>
      <w:lang w:val="tr-TR"/>
    </w:rPr>
  </w:style>
  <w:style w:type="paragraph" w:customStyle="1" w:styleId="Gvdemetni0">
    <w:name w:val="Gövde metni"/>
    <w:basedOn w:val="Normal"/>
    <w:link w:val="Gvdemetni"/>
    <w:rsid w:val="001E69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kgcw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 emlak</cp:lastModifiedBy>
  <cp:revision>2</cp:revision>
  <dcterms:created xsi:type="dcterms:W3CDTF">2012-06-30T12:16:00Z</dcterms:created>
  <dcterms:modified xsi:type="dcterms:W3CDTF">2012-06-30T12:16:00Z</dcterms:modified>
</cp:coreProperties>
</file>