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0F" w:rsidRDefault="00C37693">
      <w:pPr>
        <w:pStyle w:val="Balk10"/>
        <w:framePr w:w="7627" w:h="11813" w:hRule="exact" w:wrap="none" w:vAnchor="page" w:hAnchor="page" w:x="2102" w:y="2331"/>
        <w:shd w:val="clear" w:color="auto" w:fill="auto"/>
        <w:spacing w:after="244"/>
        <w:ind w:right="20"/>
      </w:pPr>
      <w:bookmarkStart w:id="0" w:name="bookmark0"/>
      <w:r>
        <w:t>T.C. GEREDE İCRA MUDURLUGU Dosya NO: 2012/96 Talimat</w:t>
      </w:r>
      <w:bookmarkEnd w:id="0"/>
    </w:p>
    <w:p w:rsidR="001C670F" w:rsidRDefault="00C37693">
      <w:pPr>
        <w:pStyle w:val="Gvdemetni20"/>
        <w:framePr w:w="7627" w:h="11813" w:hRule="exact" w:wrap="none" w:vAnchor="page" w:hAnchor="page" w:x="2102" w:y="2331"/>
        <w:shd w:val="clear" w:color="auto" w:fill="auto"/>
        <w:tabs>
          <w:tab w:val="left" w:pos="3931"/>
        </w:tabs>
        <w:spacing w:before="0" w:after="55" w:line="160" w:lineRule="exact"/>
        <w:ind w:right="320"/>
      </w:pPr>
      <w:r>
        <w:t>TAŞINMAZIN AÇIK ARTIRMA İLÂNI</w:t>
      </w:r>
      <w:r>
        <w:tab/>
        <w:t xml:space="preserve">^ </w:t>
      </w:r>
      <w:r>
        <w:rPr>
          <w:vertAlign w:val="subscript"/>
        </w:rPr>
        <w:t>No</w:t>
      </w:r>
      <w:r>
        <w:t xml:space="preserve"> </w:t>
      </w:r>
      <w:r>
        <w:rPr>
          <w:rStyle w:val="Gvdemetni2Kalntalik0ptbolukbraklyor"/>
        </w:rPr>
        <w:t>^</w:t>
      </w:r>
    </w:p>
    <w:p w:rsidR="001C670F" w:rsidRDefault="00C37693">
      <w:pPr>
        <w:pStyle w:val="Gvdemetni0"/>
        <w:framePr w:w="7627" w:h="11813" w:hRule="exact" w:wrap="none" w:vAnchor="page" w:hAnchor="page" w:x="2102" w:y="2331"/>
        <w:shd w:val="clear" w:color="auto" w:fill="auto"/>
        <w:spacing w:before="0" w:after="50" w:line="140" w:lineRule="exact"/>
        <w:ind w:left="40"/>
      </w:pPr>
      <w:r>
        <w:rPr>
          <w:rStyle w:val="Gvdemetni1"/>
        </w:rPr>
        <w:t>Satılmasına karar verilen taşınmazın cinsi, niteliği, kıymeti, adedi, önemli özellikleri:</w:t>
      </w:r>
    </w:p>
    <w:p w:rsidR="001C670F" w:rsidRDefault="00C37693">
      <w:pPr>
        <w:pStyle w:val="Gvdemetni0"/>
        <w:framePr w:w="7627" w:h="11813" w:hRule="exact" w:wrap="none" w:vAnchor="page" w:hAnchor="page" w:x="2102" w:y="2331"/>
        <w:shd w:val="clear" w:color="auto" w:fill="auto"/>
        <w:spacing w:before="0" w:after="56" w:line="187" w:lineRule="exact"/>
        <w:ind w:left="40" w:right="20" w:firstLine="540"/>
      </w:pPr>
      <w:r>
        <w:t xml:space="preserve">Bolu ili, Yeniçağa İlçesi, </w:t>
      </w:r>
      <w:proofErr w:type="spellStart"/>
      <w:r>
        <w:t>Yukarıkuldan</w:t>
      </w:r>
      <w:proofErr w:type="spellEnd"/>
      <w:r>
        <w:t xml:space="preserve"> Köyü G28A21D pafta, 22i parsel </w:t>
      </w:r>
      <w:r>
        <w:t>sayılı 17.550,00 m2 yüzölçümlü Maden Suyu ve Sodası Fabrikası ile Fabrika Sahası vasıflı taşınmaz, bir borç nedeni ile açık artırma suretiyle satılacaktır.</w:t>
      </w:r>
    </w:p>
    <w:p w:rsidR="001C670F" w:rsidRDefault="00C37693">
      <w:pPr>
        <w:pStyle w:val="Gvdemetni0"/>
        <w:framePr w:w="7627" w:h="11813" w:hRule="exact" w:wrap="none" w:vAnchor="page" w:hAnchor="page" w:x="2102" w:y="2331"/>
        <w:shd w:val="clear" w:color="auto" w:fill="auto"/>
        <w:tabs>
          <w:tab w:val="left" w:leader="underscore" w:pos="2910"/>
        </w:tabs>
        <w:spacing w:before="0" w:after="0" w:line="192" w:lineRule="exact"/>
        <w:ind w:left="40"/>
      </w:pPr>
      <w:r>
        <w:rPr>
          <w:rStyle w:val="Gvdemetni1"/>
        </w:rPr>
        <w:t>Taşınmazın İmar Durumu</w:t>
      </w:r>
      <w:r>
        <w:tab/>
        <w:t>: Dosyada mevcut Yeniçağa Belediye Başkanlığı İmar Müdürlüğü’nün</w:t>
      </w:r>
    </w:p>
    <w:p w:rsidR="001C670F" w:rsidRDefault="00C37693">
      <w:pPr>
        <w:pStyle w:val="Gvdemetni0"/>
        <w:framePr w:w="7627" w:h="11813" w:hRule="exact" w:wrap="none" w:vAnchor="page" w:hAnchor="page" w:x="2102" w:y="2331"/>
        <w:shd w:val="clear" w:color="auto" w:fill="auto"/>
        <w:spacing w:before="0" w:line="192" w:lineRule="exact"/>
        <w:ind w:left="40" w:right="20"/>
      </w:pPr>
      <w:r>
        <w:t xml:space="preserve">05.04.2012 </w:t>
      </w:r>
      <w:r>
        <w:t xml:space="preserve">tarih ve 460 sayılı yazısında, </w:t>
      </w:r>
      <w:proofErr w:type="spellStart"/>
      <w:r>
        <w:t>satışâ</w:t>
      </w:r>
      <w:proofErr w:type="spellEnd"/>
      <w:r>
        <w:t xml:space="preserve"> konu yerin Belediye Mücavir Alanı dışında, 1/1000 ölçekli Mevzii imar Planında Sanayi alanı içerisinde kalmakta olduğu ve E=O.60, </w:t>
      </w:r>
      <w:proofErr w:type="spellStart"/>
      <w:r>
        <w:t>Hmax</w:t>
      </w:r>
      <w:proofErr w:type="spellEnd"/>
      <w:r>
        <w:t>=</w:t>
      </w:r>
      <w:proofErr w:type="gramStart"/>
      <w:r>
        <w:t>6.5</w:t>
      </w:r>
      <w:proofErr w:type="gramEnd"/>
      <w:r>
        <w:t>(j m olduğu bildirilmiştir.</w:t>
      </w:r>
    </w:p>
    <w:p w:rsidR="001C670F" w:rsidRDefault="00C37693">
      <w:pPr>
        <w:pStyle w:val="Gvdemetni0"/>
        <w:framePr w:w="7627" w:h="11813" w:hRule="exact" w:wrap="none" w:vAnchor="page" w:hAnchor="page" w:x="2102" w:y="2331"/>
        <w:shd w:val="clear" w:color="auto" w:fill="auto"/>
        <w:tabs>
          <w:tab w:val="left" w:leader="underscore" w:pos="2906"/>
        </w:tabs>
        <w:spacing w:before="0" w:after="0" w:line="192" w:lineRule="exact"/>
        <w:ind w:left="40"/>
      </w:pPr>
      <w:r>
        <w:rPr>
          <w:rStyle w:val="Gvdemetni1"/>
        </w:rPr>
        <w:t>Taşınmazın Evsafı</w:t>
      </w:r>
      <w:r>
        <w:tab/>
        <w:t xml:space="preserve">: Satışa konu taşınmaz </w:t>
      </w:r>
      <w:proofErr w:type="spellStart"/>
      <w:r>
        <w:t>Yukarıkulda</w:t>
      </w:r>
      <w:r>
        <w:t>n</w:t>
      </w:r>
      <w:proofErr w:type="spellEnd"/>
      <w:r>
        <w:t xml:space="preserve"> Köyü </w:t>
      </w:r>
      <w:proofErr w:type="spellStart"/>
      <w:r>
        <w:t>Hanaltı</w:t>
      </w:r>
      <w:proofErr w:type="spellEnd"/>
      <w:r>
        <w:t xml:space="preserve"> Mevkiinde üçgen</w:t>
      </w:r>
    </w:p>
    <w:p w:rsidR="001C670F" w:rsidRDefault="00C37693">
      <w:pPr>
        <w:pStyle w:val="Gvdemetni0"/>
        <w:framePr w:w="7627" w:h="11813" w:hRule="exact" w:wrap="none" w:vAnchor="page" w:hAnchor="page" w:x="2102" w:y="2331"/>
        <w:shd w:val="clear" w:color="auto" w:fill="auto"/>
        <w:tabs>
          <w:tab w:val="left" w:pos="5843"/>
        </w:tabs>
        <w:spacing w:before="0" w:after="102" w:line="192" w:lineRule="exact"/>
        <w:ind w:left="40" w:right="20"/>
      </w:pPr>
      <w:proofErr w:type="gramStart"/>
      <w:r>
        <w:t>şeklindedir</w:t>
      </w:r>
      <w:proofErr w:type="gramEnd"/>
      <w:r>
        <w:t xml:space="preserve">. Batısında </w:t>
      </w:r>
      <w:proofErr w:type="spellStart"/>
      <w:r>
        <w:t>Tades</w:t>
      </w:r>
      <w:proofErr w:type="spellEnd"/>
      <w:r>
        <w:t xml:space="preserve"> Cips fabrikası, güneyinde TEM Otoyolu, Güneydoğusunda Yeniçağa İlçesi bulunmakta olup, Yeniçağ İlçesine uzaklığı yaklaşık Bir </w:t>
      </w:r>
      <w:proofErr w:type="spellStart"/>
      <w:r>
        <w:t>Km’dir</w:t>
      </w:r>
      <w:proofErr w:type="spellEnd"/>
      <w:r>
        <w:t xml:space="preserve">. Taşınmazın ön tarafında </w:t>
      </w:r>
      <w:proofErr w:type="gramStart"/>
      <w:r>
        <w:t>stabilize yolu</w:t>
      </w:r>
      <w:proofErr w:type="gramEnd"/>
      <w:r>
        <w:t xml:space="preserve"> mevcut olup, etrafı bet</w:t>
      </w:r>
      <w:r>
        <w:t xml:space="preserve">on çit arası </w:t>
      </w:r>
      <w:proofErr w:type="spellStart"/>
      <w:r>
        <w:t>fens</w:t>
      </w:r>
      <w:proofErr w:type="spellEnd"/>
      <w:r>
        <w:t xml:space="preserve"> teli ile çevrilidir. Etrafı boş ve tarım yapılan araziler ile çevrili olup, ulaşım imkânları kolaydır. Taşınmazın bulunduğu bölgede alt yapı mevcut olup, elektrik ve kanalizasyon ihtiyacı şebekeden karşılanmakta su ise artezyen kuyudan sa</w:t>
      </w:r>
      <w:r>
        <w:t xml:space="preserve">ğlanmaktadır. Taşınmazın özerinde gayri faal biçimde fabrika binası, 2 adet depo ve bekçi kulübesi bulunmakta olup, binaların toplam oturum alanı 3.603,87 m2 </w:t>
      </w:r>
      <w:proofErr w:type="spellStart"/>
      <w:r>
        <w:t>dir</w:t>
      </w:r>
      <w:proofErr w:type="spellEnd"/>
      <w:r>
        <w:t>. Taşınmaz üzerindeki fabrika ayrık nizamda inşa edilmiş olup, bodrum katında kazan dairesi, gi</w:t>
      </w:r>
      <w:r>
        <w:t xml:space="preserve">riş katında </w:t>
      </w:r>
      <w:proofErr w:type="spellStart"/>
      <w:r>
        <w:t>febrika</w:t>
      </w:r>
      <w:proofErr w:type="spellEnd"/>
      <w:r>
        <w:t xml:space="preserve"> imalat ve depolama bölümü, birinci katında idari ofisler, mutfak, yemekhane ve WC, ikinci katında ise lojmanı bulunmaktadır. Binanın çatısı çelik </w:t>
      </w:r>
      <w:proofErr w:type="gramStart"/>
      <w:r>
        <w:t>konstrüksiyon</w:t>
      </w:r>
      <w:proofErr w:type="gramEnd"/>
      <w:r>
        <w:t xml:space="preserve"> çatı sistemi ile kaplı olup, Mutfak, WC ve yemekhanenin taban ve duvarları s</w:t>
      </w:r>
      <w:r>
        <w:t xml:space="preserve">eramik, zemin kat duvarları kireç zemini vakumlu betondur. Diğer yerlerin duvarları ise plastik boyalıdır. İç kapı ve pencereleri PVC’dir. Proje harici inşa edilen iki adet deponun ise diş cephesi sıvalı olup boyasızdır. Çelik </w:t>
      </w:r>
      <w:proofErr w:type="gramStart"/>
      <w:r>
        <w:t>konstrüksiyon</w:t>
      </w:r>
      <w:proofErr w:type="gramEnd"/>
      <w:r>
        <w:t xml:space="preserve"> çatı üzeri trap</w:t>
      </w:r>
      <w:r>
        <w:t xml:space="preserve">ez levha ile çatılan kaplanmış, fabrikanın üretim bölümünden ve dışarıdan girişi bulunmaktadır. Dış kapısı demir doğrama, zeminleri beton, pencereleri PVC’dir. Taşınmaz ve </w:t>
      </w:r>
      <w:proofErr w:type="spellStart"/>
      <w:r>
        <w:t>muhdesatının</w:t>
      </w:r>
      <w:proofErr w:type="spellEnd"/>
      <w:r>
        <w:t xml:space="preserve"> geniş evsafı dosyada mevcut bilirkişi </w:t>
      </w:r>
      <w:proofErr w:type="spellStart"/>
      <w:r>
        <w:t>raoorunda</w:t>
      </w:r>
      <w:proofErr w:type="spellEnd"/>
      <w:r>
        <w:t xml:space="preserve"> açıklanmıştır,</w:t>
      </w:r>
      <w:r>
        <w:tab/>
        <w:t>.'</w:t>
      </w:r>
    </w:p>
    <w:p w:rsidR="001C670F" w:rsidRDefault="00C37693">
      <w:pPr>
        <w:pStyle w:val="Gvdemetni0"/>
        <w:framePr w:w="7627" w:h="11813" w:hRule="exact" w:wrap="none" w:vAnchor="page" w:hAnchor="page" w:x="2102" w:y="2331"/>
        <w:shd w:val="clear" w:color="auto" w:fill="auto"/>
        <w:tabs>
          <w:tab w:val="left" w:leader="underscore" w:pos="2531"/>
        </w:tabs>
        <w:spacing w:before="0" w:after="54" w:line="140" w:lineRule="exact"/>
        <w:ind w:left="40"/>
      </w:pPr>
      <w:r>
        <w:rPr>
          <w:rStyle w:val="Gvdemetni1"/>
        </w:rPr>
        <w:t>Taşın</w:t>
      </w:r>
      <w:r>
        <w:rPr>
          <w:rStyle w:val="Gvdemetni1"/>
        </w:rPr>
        <w:t>mazın Kıymeti</w:t>
      </w:r>
      <w:r>
        <w:tab/>
        <w:t xml:space="preserve"> </w:t>
      </w:r>
      <w:r>
        <w:rPr>
          <w:rStyle w:val="Gvdemetni1"/>
        </w:rPr>
        <w:t>:</w:t>
      </w:r>
      <w:r>
        <w:t xml:space="preserve"> Bilirkişi tarafından satışa konu taşınmaz ve üzerindeki </w:t>
      </w:r>
      <w:proofErr w:type="spellStart"/>
      <w:r>
        <w:t>muhdesata</w:t>
      </w:r>
      <w:proofErr w:type="spellEnd"/>
    </w:p>
    <w:p w:rsidR="001C670F" w:rsidRDefault="00C37693">
      <w:pPr>
        <w:pStyle w:val="Gvdemetni0"/>
        <w:framePr w:w="7627" w:h="11813" w:hRule="exact" w:wrap="none" w:vAnchor="page" w:hAnchor="page" w:x="2102" w:y="2331"/>
        <w:shd w:val="clear" w:color="auto" w:fill="auto"/>
        <w:spacing w:before="0" w:after="0" w:line="140" w:lineRule="exact"/>
        <w:ind w:left="40"/>
      </w:pPr>
      <w:proofErr w:type="gramStart"/>
      <w:r>
        <w:t>toplam</w:t>
      </w:r>
      <w:proofErr w:type="gramEnd"/>
      <w:r>
        <w:t xml:space="preserve"> olarak 1.495,563,70-TL kıymet takdir edilmiş ve kesinleşmiştir.</w:t>
      </w:r>
    </w:p>
    <w:p w:rsidR="001C670F" w:rsidRDefault="00C37693">
      <w:pPr>
        <w:pStyle w:val="Gvdemetni20"/>
        <w:framePr w:w="7627" w:h="11813" w:hRule="exact" w:wrap="none" w:vAnchor="page" w:hAnchor="page" w:x="2102" w:y="2331"/>
        <w:shd w:val="clear" w:color="auto" w:fill="auto"/>
        <w:tabs>
          <w:tab w:val="left" w:leader="underscore" w:pos="2891"/>
        </w:tabs>
        <w:spacing w:before="0" w:after="0" w:line="202" w:lineRule="exact"/>
        <w:ind w:left="40"/>
        <w:jc w:val="both"/>
      </w:pPr>
      <w:r>
        <w:rPr>
          <w:rStyle w:val="Gvdemetni21"/>
        </w:rPr>
        <w:t>Satış Şartları</w:t>
      </w:r>
      <w:r>
        <w:tab/>
      </w:r>
    </w:p>
    <w:p w:rsidR="001C670F" w:rsidRDefault="00C37693">
      <w:pPr>
        <w:pStyle w:val="Gvdemetni0"/>
        <w:framePr w:w="7627" w:h="11813" w:hRule="exact" w:wrap="none" w:vAnchor="page" w:hAnchor="page" w:x="2102" w:y="2331"/>
        <w:shd w:val="clear" w:color="auto" w:fill="auto"/>
        <w:spacing w:before="0" w:after="0" w:line="202" w:lineRule="exact"/>
        <w:ind w:left="40" w:right="20"/>
      </w:pPr>
      <w:r>
        <w:t xml:space="preserve">1-Satışa konu </w:t>
      </w:r>
      <w:proofErr w:type="spellStart"/>
      <w:r>
        <w:t>taşmmazınl</w:t>
      </w:r>
      <w:proofErr w:type="spellEnd"/>
      <w:r>
        <w:t xml:space="preserve">. </w:t>
      </w:r>
      <w:proofErr w:type="gramStart"/>
      <w:r>
        <w:t>satışı</w:t>
      </w:r>
      <w:proofErr w:type="gramEnd"/>
      <w:r>
        <w:t xml:space="preserve"> 18.12.2012 tarihinde, saat 14.00’dan 14.15’e kadar </w:t>
      </w:r>
      <w:r>
        <w:t>Gerede İcra Müdürlüğü’nde açık artırma suretiyle yapılacaktır. Bu artırmada tahmin edilen değerin % 60’ını ve rüçhanlı alacaklılar varsa alacakları toplamını ve satış giderlerini geçmek şartı ile ihale olunur. Böyle bir bedelle alıcı çıkmazsa en çok artıra</w:t>
      </w:r>
      <w:r>
        <w:t xml:space="preserve">nın taahhüdü sadeli kalmak şartıyla; 28.12.2012 </w:t>
      </w:r>
      <w:proofErr w:type="gramStart"/>
      <w:r>
        <w:t>tarihinde,saat</w:t>
      </w:r>
      <w:proofErr w:type="gramEnd"/>
      <w:r>
        <w:t xml:space="preserve"> 14.00*dan 14.15’e kadar Gerede İcra Müdürlüğü’nde ikinci artırmaya çıkarılacaktır. Bu artırmada da tahmin edilen değerin % 4Û’ını ve </w:t>
      </w:r>
      <w:proofErr w:type="spellStart"/>
      <w:r>
        <w:t>rüçhanh</w:t>
      </w:r>
      <w:proofErr w:type="spellEnd"/>
      <w:r>
        <w:t xml:space="preserve"> alacaklılar varsa alacakları toplamını ve satış gide</w:t>
      </w:r>
      <w:r>
        <w:t>rlerini geçmek şartı ile en çok artırana ihalesi yapılacaktır.</w:t>
      </w:r>
    </w:p>
    <w:p w:rsidR="001C670F" w:rsidRDefault="00C37693">
      <w:pPr>
        <w:pStyle w:val="Gvdemetni0"/>
        <w:framePr w:w="7627" w:h="11813" w:hRule="exact" w:wrap="none" w:vAnchor="page" w:hAnchor="page" w:x="2102" w:y="2331"/>
        <w:numPr>
          <w:ilvl w:val="0"/>
          <w:numId w:val="1"/>
        </w:numPr>
        <w:shd w:val="clear" w:color="auto" w:fill="auto"/>
        <w:tabs>
          <w:tab w:val="left" w:pos="208"/>
        </w:tabs>
        <w:spacing w:before="0" w:after="0" w:line="202" w:lineRule="exact"/>
        <w:ind w:left="40" w:right="20"/>
      </w:pPr>
      <w:r>
        <w:t>- Artırmaya iştirak edeceklerin, tahmin edilen değerin % 20’si oranında pey akçesi veya bu miktar kadar banka teminat mektubu vermeleri lâzımdır. Satış peşin para iledir, alıcı istediğinde (10)</w:t>
      </w:r>
      <w:r>
        <w:t xml:space="preserve"> günü geçmemek üzere süre verilebilir. Taşınmazı satın alanlar, ihaleye alacağına mahsuben iştirak etmemiş olmak kaydıyla, ihalenin feshi talep edilmiş olsa bile, satış bedelini derhâl veya verilen süre içinde nakden ödemek zorundadırlar. İhale danga pulu,</w:t>
      </w:r>
      <w:r>
        <w:t xml:space="preserve"> </w:t>
      </w:r>
      <w:r>
        <w:rPr>
          <w:rStyle w:val="Gvdemetnitalik0ptbolukbraklyor"/>
        </w:rPr>
        <w:t xml:space="preserve">% </w:t>
      </w:r>
      <w:r>
        <w:t xml:space="preserve">18 KDV, tapu alım harcı ve masrafları alıcıya aittir. </w:t>
      </w:r>
      <w:proofErr w:type="gramStart"/>
      <w:r>
        <w:t>Tellaliye</w:t>
      </w:r>
      <w:proofErr w:type="gramEnd"/>
      <w:r>
        <w:t>, tapu satım harcı ve birikmiş vergiler satış bedelinden ödenir.</w:t>
      </w:r>
    </w:p>
    <w:p w:rsidR="001C670F" w:rsidRDefault="00C37693">
      <w:pPr>
        <w:pStyle w:val="Gvdemetni0"/>
        <w:framePr w:w="7627" w:h="11813" w:hRule="exact" w:wrap="none" w:vAnchor="page" w:hAnchor="page" w:x="2102" w:y="2331"/>
        <w:numPr>
          <w:ilvl w:val="0"/>
          <w:numId w:val="1"/>
        </w:numPr>
        <w:shd w:val="clear" w:color="auto" w:fill="auto"/>
        <w:tabs>
          <w:tab w:val="left" w:pos="208"/>
        </w:tabs>
        <w:spacing w:before="0" w:after="0" w:line="202" w:lineRule="exact"/>
        <w:ind w:left="40" w:right="20"/>
      </w:pPr>
      <w:r>
        <w:t>- İpotek sahibi alacaklılarla diğer ilgilerin (*) bu gayrimenkul üzerindeki haklarını Özellikle faiz ve giderlere dair olan i</w:t>
      </w:r>
      <w:r>
        <w:t>ddialarım dayanağı belgeler ile (15) gün içinde dairemize bildirmeleri lazımdır, aksi takdirde haklan tapu sicil ile sabit olmadıkça paylaşmadan hariç bırakılacaktır.</w:t>
      </w:r>
    </w:p>
    <w:p w:rsidR="001C670F" w:rsidRDefault="00C37693">
      <w:pPr>
        <w:pStyle w:val="Gvdemetni0"/>
        <w:framePr w:w="7627" w:h="11813" w:hRule="exact" w:wrap="none" w:vAnchor="page" w:hAnchor="page" w:x="2102" w:y="2331"/>
        <w:numPr>
          <w:ilvl w:val="0"/>
          <w:numId w:val="1"/>
        </w:numPr>
        <w:shd w:val="clear" w:color="auto" w:fill="auto"/>
        <w:tabs>
          <w:tab w:val="left" w:pos="203"/>
        </w:tabs>
        <w:spacing w:before="0" w:after="0" w:line="202" w:lineRule="exact"/>
        <w:ind w:left="40" w:right="20"/>
      </w:pPr>
      <w:r>
        <w:t>- Satış bedeli hemen veya verilen mühlet içinde ödenmezse İcra ve İflas Kanununun 133 ünc</w:t>
      </w:r>
      <w:r>
        <w:t xml:space="preserve">ü maddesi gereğince ihale feshedilir. İki ihale arasındaki farktan ve diğer zararlar ile temerrüt filizinden alıcı ve kefilleri </w:t>
      </w:r>
      <w:proofErr w:type="spellStart"/>
      <w:r>
        <w:t>müteselsilen</w:t>
      </w:r>
      <w:proofErr w:type="spellEnd"/>
      <w:r>
        <w:t xml:space="preserve"> mesul tutulacak ve hiçbir hükme hacet kalmadan kendilerinden tahsil edilecektir,</w:t>
      </w:r>
    </w:p>
    <w:p w:rsidR="001C670F" w:rsidRDefault="00C37693">
      <w:pPr>
        <w:pStyle w:val="Gvdemetni0"/>
        <w:framePr w:w="7627" w:h="11813" w:hRule="exact" w:wrap="none" w:vAnchor="page" w:hAnchor="page" w:x="2102" w:y="2331"/>
        <w:numPr>
          <w:ilvl w:val="0"/>
          <w:numId w:val="1"/>
        </w:numPr>
        <w:shd w:val="clear" w:color="auto" w:fill="auto"/>
        <w:tabs>
          <w:tab w:val="left" w:pos="213"/>
        </w:tabs>
        <w:spacing w:before="0" w:after="0" w:line="202" w:lineRule="exact"/>
        <w:ind w:left="40" w:right="20"/>
      </w:pPr>
      <w:r>
        <w:t xml:space="preserve">- Şartname, ilân tarihinden </w:t>
      </w:r>
      <w:r>
        <w:t>itibaren herkesin görebilmesi için dairede açık olup gideri verildiği takdirde isteyen alıcıya bir örneği gönderilebilir.</w:t>
      </w:r>
    </w:p>
    <w:p w:rsidR="001C670F" w:rsidRDefault="00C37693">
      <w:pPr>
        <w:pStyle w:val="Gvdemetni0"/>
        <w:framePr w:w="7627" w:h="11813" w:hRule="exact" w:wrap="none" w:vAnchor="page" w:hAnchor="page" w:x="2102" w:y="2331"/>
        <w:shd w:val="clear" w:color="auto" w:fill="auto"/>
        <w:spacing w:before="0" w:after="85" w:line="202" w:lineRule="exact"/>
        <w:ind w:left="40" w:right="20"/>
      </w:pPr>
      <w:r>
        <w:t>6 - Satışa iştirak edenlerin şartnameyi görmüş ve münderecatını kabul etmiş sayılacakları, başkaca bilgi almak isteyenlerin 2012/96 Ta</w:t>
      </w:r>
      <w:r>
        <w:t xml:space="preserve">limat sayılı dosya numarasıyla Müdürlüğümüze </w:t>
      </w:r>
      <w:proofErr w:type="spellStart"/>
      <w:r>
        <w:t>başvurmalanjlân</w:t>
      </w:r>
      <w:proofErr w:type="spellEnd"/>
      <w:r>
        <w:t xml:space="preserve"> olunur.06.11.2012</w:t>
      </w:r>
    </w:p>
    <w:p w:rsidR="001C670F" w:rsidRDefault="00C37693">
      <w:pPr>
        <w:pStyle w:val="Gvdemetni0"/>
        <w:framePr w:w="7627" w:h="11813" w:hRule="exact" w:wrap="none" w:vAnchor="page" w:hAnchor="page" w:x="2102" w:y="2331"/>
        <w:shd w:val="clear" w:color="auto" w:fill="auto"/>
        <w:tabs>
          <w:tab w:val="left" w:leader="underscore" w:pos="1754"/>
          <w:tab w:val="left" w:pos="6333"/>
        </w:tabs>
        <w:spacing w:before="0" w:after="173" w:line="170" w:lineRule="exact"/>
        <w:ind w:left="40"/>
      </w:pPr>
      <w:r>
        <w:rPr>
          <w:rStyle w:val="Gvdemetni1"/>
        </w:rPr>
        <w:t>(IİK m. 126)</w:t>
      </w:r>
      <w:r>
        <w:tab/>
        <w:t>(*) ilgililer tabirine irtifak hakkı sahipleri de dâhildir</w:t>
      </w:r>
      <w:r>
        <w:tab/>
      </w:r>
      <w:r>
        <w:rPr>
          <w:rStyle w:val="Gvdemetni85ptKaln0ptbolukbraklyor"/>
        </w:rPr>
        <w:t xml:space="preserve">Basın </w:t>
      </w:r>
      <w:r>
        <w:t xml:space="preserve">NO’ </w:t>
      </w:r>
      <w:r>
        <w:rPr>
          <w:rStyle w:val="Gvdemetni85ptKaln0ptbolukbraklyor"/>
        </w:rPr>
        <w:t>69720</w:t>
      </w:r>
    </w:p>
    <w:p w:rsidR="001C670F" w:rsidRDefault="001C670F">
      <w:pPr>
        <w:pStyle w:val="Gvdemetni30"/>
        <w:framePr w:w="7627" w:h="11813" w:hRule="exact" w:wrap="none" w:vAnchor="page" w:hAnchor="page" w:x="2102" w:y="2331"/>
        <w:shd w:val="clear" w:color="auto" w:fill="auto"/>
        <w:spacing w:before="0" w:after="179" w:line="140" w:lineRule="exact"/>
        <w:ind w:right="20"/>
      </w:pPr>
      <w:hyperlink r:id="rId7" w:history="1">
        <w:r w:rsidR="00C37693">
          <w:rPr>
            <w:rStyle w:val="Kpr"/>
          </w:rPr>
          <w:t>www.bik.gov.tr</w:t>
        </w:r>
      </w:hyperlink>
    </w:p>
    <w:p w:rsidR="001C670F" w:rsidRDefault="00C37693">
      <w:pPr>
        <w:pStyle w:val="Gvdemetni30"/>
        <w:framePr w:w="7627" w:h="11813" w:hRule="exact" w:wrap="none" w:vAnchor="page" w:hAnchor="page" w:x="2102" w:y="2331"/>
        <w:shd w:val="clear" w:color="auto" w:fill="auto"/>
        <w:spacing w:before="0" w:after="0" w:line="140" w:lineRule="exact"/>
        <w:ind w:right="20"/>
        <w:jc w:val="center"/>
      </w:pPr>
      <w:r>
        <w:rPr>
          <w:lang w:val="tr-TR"/>
        </w:rPr>
        <w:t xml:space="preserve">Resmi ilanlar: </w:t>
      </w:r>
      <w:hyperlink r:id="rId8" w:history="1">
        <w:r>
          <w:rPr>
            <w:rStyle w:val="Kpr"/>
          </w:rPr>
          <w:t>www.ilan.gov.tr</w:t>
        </w:r>
      </w:hyperlink>
      <w:r>
        <w:t xml:space="preserve"> </w:t>
      </w:r>
      <w:r>
        <w:rPr>
          <w:lang w:val="tr-TR"/>
        </w:rPr>
        <w:t>de</w:t>
      </w:r>
    </w:p>
    <w:p w:rsidR="001C670F" w:rsidRDefault="001C670F">
      <w:pPr>
        <w:rPr>
          <w:sz w:val="2"/>
          <w:szCs w:val="2"/>
        </w:rPr>
      </w:pPr>
    </w:p>
    <w:sectPr w:rsidR="001C670F" w:rsidSect="001C670F">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693" w:rsidRDefault="00C37693" w:rsidP="001C670F">
      <w:r>
        <w:separator/>
      </w:r>
    </w:p>
  </w:endnote>
  <w:endnote w:type="continuationSeparator" w:id="0">
    <w:p w:rsidR="00C37693" w:rsidRDefault="00C37693" w:rsidP="001C6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693" w:rsidRDefault="00C37693"/>
  </w:footnote>
  <w:footnote w:type="continuationSeparator" w:id="0">
    <w:p w:rsidR="00C37693" w:rsidRDefault="00C3769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51DC5"/>
    <w:multiLevelType w:val="multilevel"/>
    <w:tmpl w:val="620275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C670F"/>
    <w:rsid w:val="001C670F"/>
    <w:rsid w:val="00C37693"/>
    <w:rsid w:val="00E704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70F"/>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C670F"/>
    <w:rPr>
      <w:color w:val="000080"/>
      <w:u w:val="single"/>
    </w:rPr>
  </w:style>
  <w:style w:type="character" w:customStyle="1" w:styleId="Balk1">
    <w:name w:val="Başlık #1_"/>
    <w:basedOn w:val="VarsaylanParagrafYazTipi"/>
    <w:link w:val="Balk10"/>
    <w:rsid w:val="001C670F"/>
    <w:rPr>
      <w:rFonts w:ascii="Trebuchet MS" w:eastAsia="Trebuchet MS" w:hAnsi="Trebuchet MS" w:cs="Trebuchet MS"/>
      <w:b/>
      <w:bCs/>
      <w:i w:val="0"/>
      <w:iCs w:val="0"/>
      <w:smallCaps w:val="0"/>
      <w:strike w:val="0"/>
      <w:spacing w:val="-7"/>
      <w:sz w:val="18"/>
      <w:szCs w:val="18"/>
      <w:u w:val="none"/>
    </w:rPr>
  </w:style>
  <w:style w:type="character" w:customStyle="1" w:styleId="Gvdemetni2">
    <w:name w:val="Gövde metni (2)_"/>
    <w:basedOn w:val="VarsaylanParagrafYazTipi"/>
    <w:link w:val="Gvdemetni20"/>
    <w:rsid w:val="001C670F"/>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Gvdemetni2Kalntalik0ptbolukbraklyor">
    <w:name w:val="Gövde metni (2) + Kalın;İtalik;0 pt boşluk bırakılıyor"/>
    <w:basedOn w:val="Gvdemetni2"/>
    <w:rsid w:val="001C670F"/>
    <w:rPr>
      <w:b/>
      <w:bCs/>
      <w:i/>
      <w:iCs/>
      <w:color w:val="000000"/>
      <w:spacing w:val="0"/>
      <w:w w:val="100"/>
      <w:position w:val="0"/>
    </w:rPr>
  </w:style>
  <w:style w:type="character" w:customStyle="1" w:styleId="Gvdemetni">
    <w:name w:val="Gövde metni_"/>
    <w:basedOn w:val="VarsaylanParagrafYazTipi"/>
    <w:link w:val="Gvdemetni0"/>
    <w:rsid w:val="001C670F"/>
    <w:rPr>
      <w:rFonts w:ascii="Times New Roman" w:eastAsia="Times New Roman" w:hAnsi="Times New Roman" w:cs="Times New Roman"/>
      <w:b w:val="0"/>
      <w:bCs w:val="0"/>
      <w:i w:val="0"/>
      <w:iCs w:val="0"/>
      <w:smallCaps w:val="0"/>
      <w:strike w:val="0"/>
      <w:spacing w:val="-2"/>
      <w:sz w:val="14"/>
      <w:szCs w:val="14"/>
      <w:u w:val="none"/>
    </w:rPr>
  </w:style>
  <w:style w:type="character" w:customStyle="1" w:styleId="Gvdemetni1">
    <w:name w:val="Gövde metni"/>
    <w:basedOn w:val="Gvdemetni"/>
    <w:rsid w:val="001C670F"/>
    <w:rPr>
      <w:color w:val="000000"/>
      <w:w w:val="100"/>
      <w:position w:val="0"/>
      <w:u w:val="single"/>
      <w:lang w:val="tr-TR"/>
    </w:rPr>
  </w:style>
  <w:style w:type="character" w:customStyle="1" w:styleId="Gvdemetni21">
    <w:name w:val="Gövde metni (2)"/>
    <w:basedOn w:val="Gvdemetni2"/>
    <w:rsid w:val="001C670F"/>
    <w:rPr>
      <w:color w:val="000000"/>
      <w:w w:val="100"/>
      <w:position w:val="0"/>
      <w:u w:val="single"/>
      <w:lang w:val="tr-TR"/>
    </w:rPr>
  </w:style>
  <w:style w:type="character" w:customStyle="1" w:styleId="Gvdemetnitalik0ptbolukbraklyor">
    <w:name w:val="Gövde metni + İtalik;0 pt boşluk bırakılıyor"/>
    <w:basedOn w:val="Gvdemetni"/>
    <w:rsid w:val="001C670F"/>
    <w:rPr>
      <w:i/>
      <w:iCs/>
      <w:color w:val="000000"/>
      <w:spacing w:val="0"/>
      <w:w w:val="100"/>
      <w:position w:val="0"/>
      <w:lang w:val="tr-TR"/>
    </w:rPr>
  </w:style>
  <w:style w:type="character" w:customStyle="1" w:styleId="Gvdemetni85ptKaln0ptbolukbraklyor">
    <w:name w:val="Gövde metni + 8;5 pt;Kalın;0 pt boşluk bırakılıyor"/>
    <w:basedOn w:val="Gvdemetni"/>
    <w:rsid w:val="001C670F"/>
    <w:rPr>
      <w:b/>
      <w:bCs/>
      <w:color w:val="000000"/>
      <w:spacing w:val="-4"/>
      <w:w w:val="100"/>
      <w:position w:val="0"/>
      <w:sz w:val="17"/>
      <w:szCs w:val="17"/>
      <w:lang w:val="tr-TR"/>
    </w:rPr>
  </w:style>
  <w:style w:type="character" w:customStyle="1" w:styleId="Gvdemetni3">
    <w:name w:val="Gövde metni (3)_"/>
    <w:basedOn w:val="VarsaylanParagrafYazTipi"/>
    <w:link w:val="Gvdemetni30"/>
    <w:rsid w:val="001C670F"/>
    <w:rPr>
      <w:rFonts w:ascii="Trebuchet MS" w:eastAsia="Trebuchet MS" w:hAnsi="Trebuchet MS" w:cs="Trebuchet MS"/>
      <w:b/>
      <w:bCs/>
      <w:i w:val="0"/>
      <w:iCs w:val="0"/>
      <w:smallCaps w:val="0"/>
      <w:strike w:val="0"/>
      <w:spacing w:val="-2"/>
      <w:sz w:val="14"/>
      <w:szCs w:val="14"/>
      <w:u w:val="none"/>
      <w:lang w:val="en-US"/>
    </w:rPr>
  </w:style>
  <w:style w:type="paragraph" w:customStyle="1" w:styleId="Balk10">
    <w:name w:val="Başlık #1"/>
    <w:basedOn w:val="Normal"/>
    <w:link w:val="Balk1"/>
    <w:rsid w:val="001C670F"/>
    <w:pPr>
      <w:shd w:val="clear" w:color="auto" w:fill="FFFFFF"/>
      <w:spacing w:after="180" w:line="240" w:lineRule="exact"/>
      <w:jc w:val="center"/>
      <w:outlineLvl w:val="0"/>
    </w:pPr>
    <w:rPr>
      <w:rFonts w:ascii="Trebuchet MS" w:eastAsia="Trebuchet MS" w:hAnsi="Trebuchet MS" w:cs="Trebuchet MS"/>
      <w:b/>
      <w:bCs/>
      <w:spacing w:val="-7"/>
      <w:sz w:val="18"/>
      <w:szCs w:val="18"/>
    </w:rPr>
  </w:style>
  <w:style w:type="paragraph" w:customStyle="1" w:styleId="Gvdemetni20">
    <w:name w:val="Gövde metni (2)"/>
    <w:basedOn w:val="Normal"/>
    <w:link w:val="Gvdemetni2"/>
    <w:rsid w:val="001C670F"/>
    <w:pPr>
      <w:shd w:val="clear" w:color="auto" w:fill="FFFFFF"/>
      <w:spacing w:before="180" w:after="60" w:line="0" w:lineRule="atLeast"/>
      <w:jc w:val="right"/>
    </w:pPr>
    <w:rPr>
      <w:rFonts w:ascii="Times New Roman" w:eastAsia="Times New Roman" w:hAnsi="Times New Roman" w:cs="Times New Roman"/>
      <w:spacing w:val="-1"/>
      <w:sz w:val="16"/>
      <w:szCs w:val="16"/>
    </w:rPr>
  </w:style>
  <w:style w:type="paragraph" w:customStyle="1" w:styleId="Gvdemetni0">
    <w:name w:val="Gövde metni"/>
    <w:basedOn w:val="Normal"/>
    <w:link w:val="Gvdemetni"/>
    <w:rsid w:val="001C670F"/>
    <w:pPr>
      <w:shd w:val="clear" w:color="auto" w:fill="FFFFFF"/>
      <w:spacing w:before="60" w:after="60" w:line="0" w:lineRule="atLeast"/>
      <w:jc w:val="both"/>
    </w:pPr>
    <w:rPr>
      <w:rFonts w:ascii="Times New Roman" w:eastAsia="Times New Roman" w:hAnsi="Times New Roman" w:cs="Times New Roman"/>
      <w:spacing w:val="-2"/>
      <w:sz w:val="14"/>
      <w:szCs w:val="14"/>
    </w:rPr>
  </w:style>
  <w:style w:type="paragraph" w:customStyle="1" w:styleId="Gvdemetni30">
    <w:name w:val="Gövde metni (3)"/>
    <w:basedOn w:val="Normal"/>
    <w:link w:val="Gvdemetni3"/>
    <w:rsid w:val="001C670F"/>
    <w:pPr>
      <w:shd w:val="clear" w:color="auto" w:fill="FFFFFF"/>
      <w:spacing w:before="180" w:after="180" w:line="0" w:lineRule="atLeast"/>
      <w:jc w:val="right"/>
    </w:pPr>
    <w:rPr>
      <w:rFonts w:ascii="Trebuchet MS" w:eastAsia="Trebuchet MS" w:hAnsi="Trebuchet MS" w:cs="Trebuchet MS"/>
      <w:b/>
      <w:bCs/>
      <w:spacing w:val="-2"/>
      <w:sz w:val="14"/>
      <w:szCs w:val="14"/>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lan.gov.tr" TargetMode="Externa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2012-11-10T09:57:00Z</dcterms:created>
  <dcterms:modified xsi:type="dcterms:W3CDTF">2012-11-10T09:58:00Z</dcterms:modified>
</cp:coreProperties>
</file>