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52" w:rsidRDefault="00D5246E">
      <w:pPr>
        <w:pStyle w:val="stbilgiveyaaltbilgi0"/>
        <w:framePr w:wrap="none" w:vAnchor="page" w:hAnchor="page" w:x="6277" w:y="2000"/>
        <w:shd w:val="clear" w:color="auto" w:fill="auto"/>
        <w:spacing w:line="150" w:lineRule="exact"/>
        <w:ind w:left="20"/>
      </w:pPr>
      <w:r>
        <w:t>1</w:t>
      </w:r>
    </w:p>
    <w:p w:rsidR="00861152" w:rsidRDefault="00D5246E">
      <w:pPr>
        <w:pStyle w:val="Balk10"/>
        <w:framePr w:wrap="none" w:vAnchor="page" w:hAnchor="page" w:x="8" w:y="4448"/>
        <w:shd w:val="clear" w:color="auto" w:fill="000000"/>
        <w:spacing w:after="0" w:line="250" w:lineRule="exact"/>
        <w:ind w:left="6880"/>
      </w:pPr>
      <w:bookmarkStart w:id="0" w:name="bookmark0"/>
      <w:r>
        <w:rPr>
          <w:rStyle w:val="Balk11"/>
          <w:b/>
          <w:bCs/>
        </w:rPr>
        <w:t>AYDIN DEFTERDARLIĞINDAN</w:t>
      </w:r>
      <w:bookmarkEnd w:id="0"/>
    </w:p>
    <w:p w:rsidR="00861152" w:rsidRDefault="00D5246E">
      <w:pPr>
        <w:pStyle w:val="Tabloyazs0"/>
        <w:framePr w:w="16766" w:h="595" w:hRule="exact" w:wrap="none" w:vAnchor="page" w:hAnchor="page" w:x="37" w:y="4794"/>
        <w:shd w:val="clear" w:color="auto" w:fill="auto"/>
      </w:pPr>
      <w:r>
        <w:t>.</w:t>
      </w:r>
    </w:p>
    <w:tbl>
      <w:tblPr>
        <w:tblOverlap w:val="never"/>
        <w:tblW w:w="0" w:type="auto"/>
        <w:tblLayout w:type="fixed"/>
        <w:tblCellMar>
          <w:left w:w="10" w:type="dxa"/>
          <w:right w:w="10" w:type="dxa"/>
        </w:tblCellMar>
        <w:tblLook w:val="04A0"/>
      </w:tblPr>
      <w:tblGrid>
        <w:gridCol w:w="677"/>
        <w:gridCol w:w="1219"/>
        <w:gridCol w:w="1598"/>
        <w:gridCol w:w="1248"/>
        <w:gridCol w:w="917"/>
        <w:gridCol w:w="1358"/>
        <w:gridCol w:w="1771"/>
        <w:gridCol w:w="1080"/>
        <w:gridCol w:w="2880"/>
        <w:gridCol w:w="1786"/>
        <w:gridCol w:w="2290"/>
      </w:tblGrid>
      <w:tr w:rsidR="00861152">
        <w:trPr>
          <w:trHeight w:hRule="exact" w:val="264"/>
        </w:trPr>
        <w:tc>
          <w:tcPr>
            <w:tcW w:w="677" w:type="dxa"/>
            <w:tcBorders>
              <w:top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ind w:left="100"/>
            </w:pPr>
            <w:r>
              <w:rPr>
                <w:rStyle w:val="GvdemetniKaln0ptbolukbraklyor"/>
              </w:rPr>
              <w:t>İLİ</w:t>
            </w:r>
          </w:p>
        </w:tc>
        <w:tc>
          <w:tcPr>
            <w:tcW w:w="1219" w:type="dxa"/>
            <w:tcBorders>
              <w:top w:val="single" w:sz="4" w:space="0" w:color="auto"/>
              <w:left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ind w:left="280"/>
            </w:pPr>
            <w:r>
              <w:rPr>
                <w:rStyle w:val="GvdemetniKaln0ptbolukbraklyor"/>
              </w:rPr>
              <w:t>İLÇESİ</w:t>
            </w:r>
          </w:p>
        </w:tc>
        <w:tc>
          <w:tcPr>
            <w:tcW w:w="1598" w:type="dxa"/>
            <w:tcBorders>
              <w:top w:val="single" w:sz="4" w:space="0" w:color="auto"/>
              <w:left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Kaln0ptbolukbraklyor"/>
              </w:rPr>
              <w:t>KOYU/MAH</w:t>
            </w:r>
          </w:p>
        </w:tc>
        <w:tc>
          <w:tcPr>
            <w:tcW w:w="1248" w:type="dxa"/>
            <w:tcBorders>
              <w:top w:val="single" w:sz="4" w:space="0" w:color="auto"/>
              <w:left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Kaln0ptbolukbraklyor"/>
              </w:rPr>
              <w:t>PAFTA</w:t>
            </w:r>
          </w:p>
        </w:tc>
        <w:tc>
          <w:tcPr>
            <w:tcW w:w="917" w:type="dxa"/>
            <w:tcBorders>
              <w:top w:val="single" w:sz="4" w:space="0" w:color="auto"/>
              <w:left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Kaln0ptbolukbraklyor"/>
              </w:rPr>
              <w:t>ADA</w:t>
            </w:r>
          </w:p>
        </w:tc>
        <w:tc>
          <w:tcPr>
            <w:tcW w:w="1358" w:type="dxa"/>
            <w:tcBorders>
              <w:top w:val="single" w:sz="4" w:space="0" w:color="auto"/>
              <w:left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Kaln0ptbolukbraklyor"/>
              </w:rPr>
              <w:t>PARSEL</w:t>
            </w:r>
          </w:p>
        </w:tc>
        <w:tc>
          <w:tcPr>
            <w:tcW w:w="1771" w:type="dxa"/>
            <w:tcBorders>
              <w:top w:val="single" w:sz="4" w:space="0" w:color="auto"/>
              <w:left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Kaln0ptbolukbraklyor"/>
              </w:rPr>
              <w:t>Yüzölçümü (m2)</w:t>
            </w:r>
          </w:p>
        </w:tc>
        <w:tc>
          <w:tcPr>
            <w:tcW w:w="1080" w:type="dxa"/>
            <w:tcBorders>
              <w:top w:val="single" w:sz="4" w:space="0" w:color="auto"/>
              <w:left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Kaln0ptbolukbraklyor"/>
              </w:rPr>
              <w:t>Cinsi</w:t>
            </w:r>
          </w:p>
        </w:tc>
        <w:tc>
          <w:tcPr>
            <w:tcW w:w="2880" w:type="dxa"/>
            <w:tcBorders>
              <w:top w:val="single" w:sz="4" w:space="0" w:color="auto"/>
              <w:left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Kaln0ptbolukbraklyor"/>
              </w:rPr>
              <w:t>İmar Planında Ayrıldığı Amaç</w:t>
            </w:r>
          </w:p>
        </w:tc>
        <w:tc>
          <w:tcPr>
            <w:tcW w:w="1786" w:type="dxa"/>
            <w:tcBorders>
              <w:top w:val="single" w:sz="4" w:space="0" w:color="auto"/>
              <w:left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Kaln0ptbolukbraklyor"/>
              </w:rPr>
              <w:t>Yatırım Türü</w:t>
            </w:r>
          </w:p>
        </w:tc>
        <w:tc>
          <w:tcPr>
            <w:tcW w:w="2290" w:type="dxa"/>
            <w:tcBorders>
              <w:top w:val="single" w:sz="4" w:space="0" w:color="auto"/>
              <w:left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ind w:right="20"/>
              <w:jc w:val="right"/>
            </w:pPr>
            <w:r>
              <w:rPr>
                <w:rStyle w:val="GvdemetniKaln0ptbolukbraklyor"/>
              </w:rPr>
              <w:t xml:space="preserve">Taşınmazın Rayiç Değeri </w:t>
            </w:r>
            <w:proofErr w:type="gramStart"/>
            <w:r>
              <w:rPr>
                <w:rStyle w:val="GvdemetniKaln0ptbolukbraklyor"/>
              </w:rPr>
              <w:t>(</w:t>
            </w:r>
            <w:proofErr w:type="gramEnd"/>
            <w:r>
              <w:rPr>
                <w:rStyle w:val="GvdemetniKaln0ptbolukbraklyor"/>
              </w:rPr>
              <w:t>'</w:t>
            </w:r>
          </w:p>
        </w:tc>
      </w:tr>
      <w:tr w:rsidR="00861152">
        <w:trPr>
          <w:trHeight w:hRule="exact" w:val="235"/>
        </w:trPr>
        <w:tc>
          <w:tcPr>
            <w:tcW w:w="677" w:type="dxa"/>
            <w:tcBorders>
              <w:top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ind w:left="100"/>
            </w:pPr>
            <w:r>
              <w:rPr>
                <w:rStyle w:val="Gvdemetni1"/>
              </w:rPr>
              <w:t>Aydın</w:t>
            </w:r>
          </w:p>
        </w:tc>
        <w:tc>
          <w:tcPr>
            <w:tcW w:w="1219" w:type="dxa"/>
            <w:tcBorders>
              <w:top w:val="single" w:sz="4" w:space="0" w:color="auto"/>
              <w:left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ind w:left="280"/>
            </w:pPr>
            <w:proofErr w:type="spellStart"/>
            <w:r>
              <w:rPr>
                <w:rStyle w:val="Gvdemetni1"/>
              </w:rPr>
              <w:t>InÇirliova</w:t>
            </w:r>
            <w:proofErr w:type="spellEnd"/>
          </w:p>
        </w:tc>
        <w:tc>
          <w:tcPr>
            <w:tcW w:w="1598" w:type="dxa"/>
            <w:tcBorders>
              <w:top w:val="single" w:sz="4" w:space="0" w:color="auto"/>
              <w:left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1"/>
              </w:rPr>
              <w:t>Yukarı Mah.</w:t>
            </w:r>
          </w:p>
        </w:tc>
        <w:tc>
          <w:tcPr>
            <w:tcW w:w="1248" w:type="dxa"/>
            <w:tcBorders>
              <w:top w:val="single" w:sz="4" w:space="0" w:color="auto"/>
              <w:left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1"/>
              </w:rPr>
              <w:t>31-34</w:t>
            </w:r>
          </w:p>
        </w:tc>
        <w:tc>
          <w:tcPr>
            <w:tcW w:w="917" w:type="dxa"/>
            <w:tcBorders>
              <w:top w:val="single" w:sz="4" w:space="0" w:color="auto"/>
              <w:left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1"/>
              </w:rPr>
              <w:t>-</w:t>
            </w:r>
          </w:p>
        </w:tc>
        <w:tc>
          <w:tcPr>
            <w:tcW w:w="1358" w:type="dxa"/>
            <w:tcBorders>
              <w:top w:val="single" w:sz="4" w:space="0" w:color="auto"/>
              <w:left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1"/>
              </w:rPr>
              <w:t>8644 - 8645</w:t>
            </w:r>
          </w:p>
        </w:tc>
        <w:tc>
          <w:tcPr>
            <w:tcW w:w="1771" w:type="dxa"/>
            <w:tcBorders>
              <w:top w:val="single" w:sz="4" w:space="0" w:color="auto"/>
              <w:left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1"/>
              </w:rPr>
              <w:t>68.837.00</w:t>
            </w:r>
          </w:p>
        </w:tc>
        <w:tc>
          <w:tcPr>
            <w:tcW w:w="1080" w:type="dxa"/>
            <w:tcBorders>
              <w:top w:val="single" w:sz="4" w:space="0" w:color="auto"/>
              <w:left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1"/>
              </w:rPr>
              <w:t>Arsa</w:t>
            </w:r>
          </w:p>
        </w:tc>
        <w:tc>
          <w:tcPr>
            <w:tcW w:w="2880" w:type="dxa"/>
            <w:tcBorders>
              <w:top w:val="single" w:sz="4" w:space="0" w:color="auto"/>
              <w:left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1"/>
              </w:rPr>
              <w:t>Özel Lise Yeri</w:t>
            </w:r>
          </w:p>
        </w:tc>
        <w:tc>
          <w:tcPr>
            <w:tcW w:w="1786" w:type="dxa"/>
            <w:tcBorders>
              <w:top w:val="single" w:sz="4" w:space="0" w:color="auto"/>
              <w:left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jc w:val="center"/>
            </w:pPr>
            <w:r>
              <w:rPr>
                <w:rStyle w:val="Gvdemetni1"/>
              </w:rPr>
              <w:t>Eğitim Yatırımı</w:t>
            </w:r>
          </w:p>
        </w:tc>
        <w:tc>
          <w:tcPr>
            <w:tcW w:w="2290" w:type="dxa"/>
            <w:tcBorders>
              <w:top w:val="single" w:sz="4" w:space="0" w:color="auto"/>
              <w:left w:val="single" w:sz="4" w:space="0" w:color="auto"/>
              <w:bottom w:val="single" w:sz="4" w:space="0" w:color="auto"/>
            </w:tcBorders>
            <w:shd w:val="clear" w:color="auto" w:fill="FFFFFF"/>
          </w:tcPr>
          <w:p w:rsidR="00861152" w:rsidRDefault="00D5246E">
            <w:pPr>
              <w:pStyle w:val="Gvdemetni0"/>
              <w:framePr w:w="16824" w:h="499" w:wrap="none" w:vAnchor="page" w:hAnchor="page" w:x="13" w:y="5380"/>
              <w:shd w:val="clear" w:color="auto" w:fill="auto"/>
              <w:spacing w:line="140" w:lineRule="exact"/>
              <w:ind w:left="900"/>
            </w:pPr>
            <w:r>
              <w:rPr>
                <w:rStyle w:val="Gvdemetni1"/>
              </w:rPr>
              <w:t>5.162.775,00</w:t>
            </w:r>
          </w:p>
        </w:tc>
      </w:tr>
    </w:tbl>
    <w:p w:rsidR="00861152" w:rsidRDefault="00D5246E">
      <w:pPr>
        <w:pStyle w:val="Gvdemetni20"/>
        <w:framePr w:w="16829" w:h="4718" w:hRule="exact" w:wrap="none" w:vAnchor="page" w:hAnchor="page" w:x="8" w:y="5881"/>
        <w:shd w:val="clear" w:color="auto" w:fill="auto"/>
        <w:tabs>
          <w:tab w:val="left" w:leader="hyphen" w:pos="583"/>
          <w:tab w:val="left" w:leader="hyphen" w:pos="1020"/>
        </w:tabs>
        <w:spacing w:before="0"/>
        <w:ind w:left="60"/>
      </w:pPr>
      <w:r>
        <w:t>5</w:t>
      </w:r>
      <w:r>
        <w:tab/>
      </w:r>
      <w:r>
        <w:tab/>
      </w:r>
      <w:proofErr w:type="spellStart"/>
      <w:r>
        <w:t>ıcıı</w:t>
      </w:r>
      <w:proofErr w:type="spellEnd"/>
      <w:r>
        <w:t xml:space="preserve"> 111 </w:t>
      </w:r>
      <w:proofErr w:type="spellStart"/>
      <w:r>
        <w:t>ıcı</w:t>
      </w:r>
      <w:proofErr w:type="spellEnd"/>
      <w:r>
        <w:t xml:space="preserve"> </w:t>
      </w:r>
      <w:proofErr w:type="spellStart"/>
      <w:r>
        <w:t>yaı</w:t>
      </w:r>
      <w:proofErr w:type="spellEnd"/>
      <w:r>
        <w:t xml:space="preserve"> </w:t>
      </w:r>
      <w:proofErr w:type="spellStart"/>
      <w:r>
        <w:t>ııaı</w:t>
      </w:r>
      <w:proofErr w:type="spellEnd"/>
      <w:r>
        <w:t xml:space="preserve"> 1.</w:t>
      </w:r>
    </w:p>
    <w:p w:rsidR="00861152" w:rsidRDefault="00D5246E">
      <w:pPr>
        <w:pStyle w:val="Gvdemetni0"/>
        <w:framePr w:w="16829" w:h="4718" w:hRule="exact" w:wrap="none" w:vAnchor="page" w:hAnchor="page" w:x="8" w:y="5881"/>
        <w:shd w:val="clear" w:color="auto" w:fill="auto"/>
        <w:ind w:left="60" w:right="20"/>
      </w:pPr>
      <w:r>
        <w:t xml:space="preserve">Ekonomi Bakanlığınca (Teşvik Uygulama ve Yabancı Sermaye Genel Müdürlüğü) verilmiş yatırım teşvik belgesi sahibi olan veya yatırım teşvik belgesine esas olmak üzere Hazine Müsteşarlığınca firma adı, yatırımın konusu, kapasitesi </w:t>
      </w:r>
      <w:proofErr w:type="spellStart"/>
      <w:r>
        <w:t>gil</w:t>
      </w:r>
      <w:proofErr w:type="spellEnd"/>
      <w:r>
        <w:br/>
      </w:r>
      <w:proofErr w:type="spellStart"/>
      <w:r>
        <w:t>kteristik</w:t>
      </w:r>
      <w:proofErr w:type="spellEnd"/>
      <w:r>
        <w:t xml:space="preserve"> değerlerini içerecek şekilde yatırım yeri tahsis edileceğine ilişkin yazı verilmiş olan,</w:t>
      </w:r>
    </w:p>
    <w:p w:rsidR="00861152" w:rsidRDefault="00D5246E">
      <w:pPr>
        <w:pStyle w:val="Gvdemetni0"/>
        <w:framePr w:w="16829" w:h="4718" w:hRule="exact" w:wrap="none" w:vAnchor="page" w:hAnchor="page" w:x="8" w:y="5881"/>
        <w:shd w:val="clear" w:color="auto" w:fill="auto"/>
        <w:ind w:left="60" w:right="20"/>
      </w:pPr>
      <w:r>
        <w:t xml:space="preserve">İrtifak hakkına konu taşınmazlar üzerinde gerçekleştirilecek toplam yatırım tutarı, taşınmaza takdir edilen rayiç değerin bir katından aşağı olmayan (ancak, toplam sabit yatırım tutarı </w:t>
      </w:r>
      <w:proofErr w:type="spellStart"/>
      <w:r>
        <w:t>birmilyon</w:t>
      </w:r>
      <w:proofErr w:type="spellEnd"/>
      <w:r>
        <w:t xml:space="preserve"> Türk Lirasından az olamaz) (19.06.2012 tarihli</w:t>
      </w:r>
      <w:r>
        <w:br/>
        <w:t xml:space="preserve">iyili Bakanlar </w:t>
      </w:r>
      <w:proofErr w:type="spellStart"/>
      <w:r>
        <w:t>Ky</w:t>
      </w:r>
      <w:r>
        <w:rPr>
          <w:vertAlign w:val="subscript"/>
        </w:rPr>
        <w:t>rü</w:t>
      </w:r>
      <w:proofErr w:type="spellEnd"/>
      <w:r>
        <w:t>|</w:t>
      </w:r>
      <w:r>
        <w:rPr>
          <w:vertAlign w:val="subscript"/>
        </w:rPr>
        <w:t>u</w:t>
      </w:r>
      <w:r>
        <w:t xml:space="preserve"> Kararıyla yürürlüğe konulan Yatırımlarda Devlet Yardımları Hakkında Kararda belirtilen </w:t>
      </w:r>
      <w:proofErr w:type="gramStart"/>
      <w:r>
        <w:t>kriterler</w:t>
      </w:r>
      <w:proofErr w:type="gramEnd"/>
      <w:r>
        <w:t xml:space="preserve"> ile asgari sabit yatırım ve asgari kapasite şartlarını taşıması gerekmektedir.)</w:t>
      </w:r>
    </w:p>
    <w:p w:rsidR="00861152" w:rsidRDefault="00D5246E">
      <w:pPr>
        <w:pStyle w:val="Gvdemetni0"/>
        <w:framePr w:w="16829" w:h="4718" w:hRule="exact" w:wrap="none" w:vAnchor="page" w:hAnchor="page" w:x="8" w:y="5881"/>
        <w:shd w:val="clear" w:color="auto" w:fill="auto"/>
        <w:ind w:left="60"/>
      </w:pPr>
      <w:r>
        <w:t xml:space="preserve">Taahhüt </w:t>
      </w:r>
      <w:proofErr w:type="spellStart"/>
      <w:r>
        <w:t>ediler</w:t>
      </w:r>
      <w:proofErr w:type="spellEnd"/>
      <w:r>
        <w:t xml:space="preserve">, yatırımın en az yüzde yirmisini karşılayacak miktarda net </w:t>
      </w:r>
      <w:proofErr w:type="spellStart"/>
      <w:r>
        <w:t>özkaynağa</w:t>
      </w:r>
      <w:proofErr w:type="spellEnd"/>
      <w:r>
        <w:t xml:space="preserve"> sahip olan,</w:t>
      </w:r>
    </w:p>
    <w:p w:rsidR="00861152" w:rsidRDefault="00D5246E">
      <w:pPr>
        <w:pStyle w:val="Gvdemetni0"/>
        <w:framePr w:w="16829" w:h="4718" w:hRule="exact" w:wrap="none" w:vAnchor="page" w:hAnchor="page" w:x="8" w:y="5881"/>
        <w:shd w:val="clear" w:color="auto" w:fill="auto"/>
        <w:ind w:left="60"/>
      </w:pPr>
      <w:r>
        <w:t xml:space="preserve">Yatırımın ne </w:t>
      </w:r>
      <w:r>
        <w:rPr>
          <w:rStyle w:val="Gvdemetni0ptbolukbraklyor"/>
        </w:rPr>
        <w:t xml:space="preserve">şekilde </w:t>
      </w:r>
      <w:r>
        <w:t>finanse edileceğini beyan eden,</w:t>
      </w:r>
    </w:p>
    <w:p w:rsidR="00861152" w:rsidRDefault="00D5246E">
      <w:pPr>
        <w:pStyle w:val="Gvdemetni0"/>
        <w:framePr w:w="16829" w:h="4718" w:hRule="exact" w:wrap="none" w:vAnchor="page" w:hAnchor="page" w:x="8" w:y="5881"/>
        <w:shd w:val="clear" w:color="auto" w:fill="auto"/>
        <w:ind w:left="60"/>
      </w:pPr>
      <w:r>
        <w:t xml:space="preserve">Taahhüt </w:t>
      </w:r>
      <w:proofErr w:type="spellStart"/>
      <w:r>
        <w:t>ediler</w:t>
      </w:r>
      <w:proofErr w:type="spellEnd"/>
      <w:r>
        <w:t>* yatırımın toplam tutarı on milyon Türk Lirasını aşan yatırımlarda fizibilite raporu ve finansman tablosunu veren,</w:t>
      </w:r>
    </w:p>
    <w:p w:rsidR="00861152" w:rsidRDefault="00D5246E">
      <w:pPr>
        <w:pStyle w:val="Gvdemetni0"/>
        <w:framePr w:w="16829" w:h="4718" w:hRule="exact" w:wrap="none" w:vAnchor="page" w:hAnchor="page" w:x="8" w:y="5881"/>
        <w:shd w:val="clear" w:color="auto" w:fill="auto"/>
        <w:ind w:left="60"/>
      </w:pPr>
      <w:r>
        <w:t xml:space="preserve">Kamu </w:t>
      </w:r>
      <w:proofErr w:type="spellStart"/>
      <w:r>
        <w:t>Taşınmq</w:t>
      </w:r>
      <w:r>
        <w:rPr>
          <w:vertAlign w:val="subscript"/>
        </w:rPr>
        <w:t>Z</w:t>
      </w:r>
      <w:proofErr w:type="spellEnd"/>
      <w:r>
        <w:t>|</w:t>
      </w:r>
      <w:proofErr w:type="spellStart"/>
      <w:r>
        <w:rPr>
          <w:vertAlign w:val="subscript"/>
        </w:rPr>
        <w:t>ann</w:t>
      </w:r>
      <w:r>
        <w:t>ı</w:t>
      </w:r>
      <w:r>
        <w:rPr>
          <w:vertAlign w:val="subscript"/>
        </w:rPr>
        <w:t>n</w:t>
      </w:r>
      <w:proofErr w:type="spellEnd"/>
      <w:r>
        <w:t xml:space="preserve"> Yatırımlara Tahsisine İlişkin Usul ve Esaslarda belirtilen diğer şartları yerine getiren gerçek ve tüzel kişiler yatırım yeri tahsisi teşvikinden yararlanabilecektir.</w:t>
      </w:r>
    </w:p>
    <w:p w:rsidR="00861152" w:rsidRDefault="00D5246E">
      <w:pPr>
        <w:pStyle w:val="Gvdemetni0"/>
        <w:framePr w:w="16829" w:h="4718" w:hRule="exact" w:wrap="none" w:vAnchor="page" w:hAnchor="page" w:x="8" w:y="5881"/>
        <w:shd w:val="clear" w:color="auto" w:fill="auto"/>
        <w:ind w:left="60" w:right="20"/>
      </w:pPr>
      <w:r>
        <w:t xml:space="preserve">Kamu Taşınmalarının Yatırımlara Tahsisine İlişkin Usul ve Esaslarda belirtilen teşvikten; arazi, arsa, </w:t>
      </w:r>
      <w:proofErr w:type="spellStart"/>
      <w:r>
        <w:t>royalti</w:t>
      </w:r>
      <w:proofErr w:type="spellEnd"/>
      <w:r>
        <w:t xml:space="preserve">, yedek parça ve amortismana tâbi olmayan diğer harcamalar ile 13/6/2006 </w:t>
      </w:r>
      <w:proofErr w:type="spellStart"/>
      <w:r>
        <w:t>taıihli</w:t>
      </w:r>
      <w:proofErr w:type="spellEnd"/>
      <w:r>
        <w:t xml:space="preserve"> ve 5520 sayılı Kurumlar Vergisi Kanunu </w:t>
      </w:r>
      <w:proofErr w:type="spellStart"/>
      <w:r>
        <w:t>gereı</w:t>
      </w:r>
      <w:proofErr w:type="spellEnd"/>
      <w:r>
        <w:br/>
      </w:r>
      <w:proofErr w:type="spellStart"/>
      <w:r>
        <w:t>ırtacılık</w:t>
      </w:r>
      <w:proofErr w:type="spellEnd"/>
      <w:r>
        <w:t xml:space="preserve"> konularınca faaliyet gösteren kurumlar, iş ortaklıkları, 16/7/1997 tarihli ve 4283 sayılı Yap-işlet Modeli ile Elektrik Enerjisi Üretim Tesislerinin Kurulması ve İşletilmesi ile Enerji Satışının Düzenlenmesi Hakkında Kanun ile 8/6/1994</w:t>
      </w:r>
      <w:r>
        <w:br/>
        <w:t xml:space="preserve">iyili Bazı </w:t>
      </w:r>
      <w:proofErr w:type="spellStart"/>
      <w:proofErr w:type="gramStart"/>
      <w:r>
        <w:t>Yatırıry</w:t>
      </w:r>
      <w:proofErr w:type="spellEnd"/>
      <w:r>
        <w:t>,</w:t>
      </w:r>
      <w:proofErr w:type="gramEnd"/>
      <w:r>
        <w:t xml:space="preserve"> </w:t>
      </w:r>
      <w:r>
        <w:rPr>
          <w:vertAlign w:val="subscript"/>
        </w:rPr>
        <w:t>ve</w:t>
      </w:r>
      <w:r>
        <w:t xml:space="preserve"> Hizmetlerin Yap-işlet-Devret Modeli Çerçevesinde Yaptırılması Hakkında Kanun kapsamında gerçekleştirilen yatırımlar ve </w:t>
      </w:r>
      <w:proofErr w:type="spellStart"/>
      <w:r>
        <w:t>rödovans</w:t>
      </w:r>
      <w:proofErr w:type="spellEnd"/>
      <w:r>
        <w:t xml:space="preserve"> sözleşmesine bağlı olarak yapılan /</w:t>
      </w:r>
      <w:proofErr w:type="spellStart"/>
      <w:r>
        <w:t>atırımlar</w:t>
      </w:r>
      <w:proofErr w:type="spellEnd"/>
      <w:r>
        <w:t xml:space="preserve"> yararlanamaz,</w:t>
      </w:r>
      <w:r>
        <w:br/>
      </w:r>
      <w:proofErr w:type="spellStart"/>
      <w:r>
        <w:rPr>
          <w:rStyle w:val="GvdemetniKaln0ptbolukbraklyor0"/>
        </w:rPr>
        <w:t>jşvuru</w:t>
      </w:r>
      <w:proofErr w:type="spellEnd"/>
      <w:r>
        <w:rPr>
          <w:rStyle w:val="GvdemetniKaln0ptbolukbraklyor0"/>
        </w:rPr>
        <w:t xml:space="preserve"> Şekli v% Bilgiler:</w:t>
      </w:r>
    </w:p>
    <w:p w:rsidR="00861152" w:rsidRDefault="00D5246E">
      <w:pPr>
        <w:pStyle w:val="Gvdemetni0"/>
        <w:framePr w:w="16829" w:h="4718" w:hRule="exact" w:wrap="none" w:vAnchor="page" w:hAnchor="page" w:x="8" w:y="5881"/>
        <w:shd w:val="clear" w:color="auto" w:fill="auto"/>
        <w:spacing w:line="173" w:lineRule="exact"/>
        <w:ind w:left="60" w:right="20"/>
      </w:pPr>
      <w:r>
        <w:t xml:space="preserve">Yatırımcıların 0)3 </w:t>
      </w:r>
      <w:proofErr w:type="gramStart"/>
      <w:r>
        <w:t>09.2009</w:t>
      </w:r>
      <w:proofErr w:type="gramEnd"/>
      <w:r>
        <w:t xml:space="preserve"> tarih ve 27338 sayılı Resmi Gazetede yayımlanan Kamu Taşınmazlarının Yatırımlara Tahsisine ilişkin Usul ve Esasların ekindeki belgelerden Ek-1 'de yer alan talep formunu doldurarak, Ek-2'de yer alan </w:t>
      </w:r>
      <w:proofErr w:type="spellStart"/>
      <w:r>
        <w:t>yatırımc</w:t>
      </w:r>
      <w:proofErr w:type="spellEnd"/>
      <w:r>
        <w:br/>
        <w:t xml:space="preserve">k belgeler ve </w:t>
      </w:r>
      <w:proofErr w:type="spellStart"/>
      <w:r>
        <w:rPr>
          <w:rStyle w:val="Gvdemetni6pt0ptbolukbraklyor"/>
        </w:rPr>
        <w:t>Elk</w:t>
      </w:r>
      <w:proofErr w:type="spellEnd"/>
      <w:r>
        <w:rPr>
          <w:rStyle w:val="Gvdemetni6pt0ptbolukbraklyor"/>
        </w:rPr>
        <w:t xml:space="preserve">-6'da </w:t>
      </w:r>
      <w:r>
        <w:t>yer alan yatırım bilgi formu ile birlikte 15.05.2013 Çarşamba günü mesai bitimine kadar Aydın Defterdarlığı Milli Emlak Müdürlüğüne müracaat etmeleri gerekmektedir.</w:t>
      </w:r>
    </w:p>
    <w:p w:rsidR="00861152" w:rsidRDefault="00D5246E">
      <w:pPr>
        <w:pStyle w:val="Gvdemetni0"/>
        <w:framePr w:w="16829" w:h="4718" w:hRule="exact" w:wrap="none" w:vAnchor="page" w:hAnchor="page" w:x="8" w:y="5881"/>
        <w:shd w:val="clear" w:color="auto" w:fill="auto"/>
        <w:spacing w:line="173" w:lineRule="exact"/>
        <w:ind w:left="60" w:right="20"/>
      </w:pPr>
      <w:r>
        <w:t>Başvuru sırasına yatırımcının, bütçeye gelir kaydedilmek üzere; Aydın Defterdarlığı Muhasebe Müdürlüğü hesabına 2.000,00 TL (</w:t>
      </w:r>
      <w:proofErr w:type="spellStart"/>
      <w:r>
        <w:t>İkibin</w:t>
      </w:r>
      <w:proofErr w:type="spellEnd"/>
      <w:r>
        <w:t xml:space="preserve"> TL) yatırarak alındı makbuzunu diğer belgelerle birlikte Defterdarlığımıza </w:t>
      </w:r>
      <w:proofErr w:type="spellStart"/>
      <w:r>
        <w:t>vıermesi</w:t>
      </w:r>
      <w:proofErr w:type="spellEnd"/>
      <w:r>
        <w:t xml:space="preserve"> mecburidir. Bu b&lt;</w:t>
      </w:r>
      <w:r>
        <w:br/>
      </w:r>
      <w:proofErr w:type="spellStart"/>
      <w:r>
        <w:t>ıa</w:t>
      </w:r>
      <w:proofErr w:type="spellEnd"/>
      <w:r>
        <w:t xml:space="preserve"> ilişkin makbij</w:t>
      </w:r>
      <w:r>
        <w:rPr>
          <w:vertAlign w:val="subscript"/>
        </w:rPr>
        <w:t>2</w:t>
      </w:r>
      <w:r>
        <w:t xml:space="preserve"> olmaksızın yapılan başvurular kabul edilmez.</w:t>
      </w:r>
    </w:p>
    <w:p w:rsidR="00861152" w:rsidRDefault="00D5246E">
      <w:pPr>
        <w:pStyle w:val="Gvdemetni0"/>
        <w:framePr w:w="16829" w:h="4718" w:hRule="exact" w:wrap="none" w:vAnchor="page" w:hAnchor="page" w:x="8" w:y="5881"/>
        <w:shd w:val="clear" w:color="auto" w:fill="auto"/>
        <w:spacing w:line="168" w:lineRule="exact"/>
        <w:ind w:left="60" w:right="20"/>
        <w:jc w:val="both"/>
      </w:pPr>
      <w:r>
        <w:t>İrtifak hakkının tapuya tesciline ilişkin işlemler ile bu hakların devri ve terkini, yapı ve tesislerin inşası ve kullanımı için ödenmesi gereken her türlü vergi, resim, harç, prim ve benzeri mali yükümlülükler yatırımcı tarafından karşılanacaktır.</w:t>
      </w:r>
      <w:r>
        <w:br/>
        <w:t xml:space="preserve">Yukarıdaki taşı </w:t>
      </w:r>
      <w:proofErr w:type="spellStart"/>
      <w:r>
        <w:rPr>
          <w:vertAlign w:val="subscript"/>
        </w:rPr>
        <w:t>nmaz</w:t>
      </w:r>
      <w:r>
        <w:t>iar</w:t>
      </w:r>
      <w:proofErr w:type="spellEnd"/>
      <w:r>
        <w:t xml:space="preserve"> için başvuruda bulunacak yatırımcılardan hangisi lehine irtifak hakkı tesis edileceğine ilişkin karar, Kamu Taşınmazlarının Yatırımlara Tahsisine ilişkin Usul ve Esasların 14 üncü maddesine istinaden kurulacak kom</w:t>
      </w:r>
      <w:r>
        <w:br/>
      </w:r>
      <w:proofErr w:type="spellStart"/>
      <w:r>
        <w:t>ğı</w:t>
      </w:r>
      <w:proofErr w:type="spellEnd"/>
      <w:r>
        <w:t xml:space="preserve"> </w:t>
      </w:r>
      <w:proofErr w:type="spellStart"/>
      <w:r>
        <w:t>değerlendirrr</w:t>
      </w:r>
      <w:r>
        <w:rPr>
          <w:vertAlign w:val="subscript"/>
        </w:rPr>
        <w:t>le</w:t>
      </w:r>
      <w:proofErr w:type="spellEnd"/>
      <w:r>
        <w:t xml:space="preserve"> sonucu verilecektir.</w:t>
      </w:r>
    </w:p>
    <w:p w:rsidR="00861152" w:rsidRDefault="00D5246E">
      <w:pPr>
        <w:pStyle w:val="Gvdemetni0"/>
        <w:framePr w:w="16829" w:h="4718" w:hRule="exact" w:wrap="none" w:vAnchor="page" w:hAnchor="page" w:x="8" w:y="5881"/>
        <w:shd w:val="clear" w:color="auto" w:fill="auto"/>
        <w:ind w:left="60"/>
      </w:pPr>
      <w:r>
        <w:t>Taşınmaz üzerce kurulacak tesisler hakkında ilgili kurum ve kuruluşların uygun görüşünün alınması zorunludur.</w:t>
      </w:r>
    </w:p>
    <w:p w:rsidR="00861152" w:rsidRDefault="00D5246E">
      <w:pPr>
        <w:pStyle w:val="Gvdemetni0"/>
        <w:framePr w:w="16829" w:h="4718" w:hRule="exact" w:wrap="none" w:vAnchor="page" w:hAnchor="page" w:x="8" w:y="5881"/>
        <w:shd w:val="clear" w:color="auto" w:fill="auto"/>
        <w:ind w:left="60" w:right="20"/>
      </w:pPr>
      <w:r>
        <w:t xml:space="preserve">İrtifak hakkı </w:t>
      </w:r>
      <w:proofErr w:type="spellStart"/>
      <w:proofErr w:type="gramStart"/>
      <w:r>
        <w:t>teS</w:t>
      </w:r>
      <w:proofErr w:type="spellEnd"/>
      <w:r>
        <w:t>;</w:t>
      </w:r>
      <w:proofErr w:type="spellStart"/>
      <w:r>
        <w:t>j</w:t>
      </w:r>
      <w:r>
        <w:rPr>
          <w:vertAlign w:val="subscript"/>
        </w:rPr>
        <w:t>s</w:t>
      </w:r>
      <w:proofErr w:type="spellEnd"/>
      <w:proofErr w:type="gramEnd"/>
      <w:r>
        <w:t xml:space="preserve"> edilecek taşınmazlarda, yatırımcılar tarafından imar planlarıyla imar uygulamalarının ve yapılacak tesislere ilişkin uygulama projelerinin yaptırılması, gereken hallerde tescil, ifraz, tevhit, terk </w:t>
      </w:r>
      <w:proofErr w:type="spellStart"/>
      <w:r>
        <w:t>vb.işlemlerin</w:t>
      </w:r>
      <w:proofErr w:type="spellEnd"/>
      <w:r>
        <w:t xml:space="preserve"> yaptırılması ama</w:t>
      </w:r>
      <w:r>
        <w:br/>
        <w:t>n olmaksızın b%</w:t>
      </w:r>
      <w:proofErr w:type="spellStart"/>
      <w:r>
        <w:t>d</w:t>
      </w:r>
      <w:r>
        <w:rPr>
          <w:vertAlign w:val="subscript"/>
        </w:rPr>
        <w:t>e</w:t>
      </w:r>
      <w:r>
        <w:t>lsiz</w:t>
      </w:r>
      <w:proofErr w:type="spellEnd"/>
      <w:r>
        <w:t xml:space="preserve"> olarak bir yıl süreyle ön izin verilebilir ve bu süre ihtiyaç duyulması halinde bir yıl uzatılabilir.</w:t>
      </w:r>
    </w:p>
    <w:p w:rsidR="00861152" w:rsidRDefault="00D5246E">
      <w:pPr>
        <w:pStyle w:val="Gvdemetni0"/>
        <w:framePr w:w="16829" w:h="4718" w:hRule="exact" w:wrap="none" w:vAnchor="page" w:hAnchor="page" w:x="8" w:y="5881"/>
        <w:shd w:val="clear" w:color="auto" w:fill="auto"/>
        <w:ind w:left="60"/>
      </w:pPr>
      <w:r>
        <w:t xml:space="preserve">Yatırımcılar müracaat sürelerini geçirmemek şartıyla bizzat başvurabilecekleri gibi taleplerini posta (PTT) aracılığıyla da yapabilirler. Ancak, postada doğabilecek gecikmeden dolayı idare </w:t>
      </w:r>
      <w:proofErr w:type="gramStart"/>
      <w:r>
        <w:t>yada</w:t>
      </w:r>
      <w:proofErr w:type="gramEnd"/>
      <w:r>
        <w:t xml:space="preserve"> komisyon sorumlu tutulamaz.</w:t>
      </w:r>
    </w:p>
    <w:p w:rsidR="00861152" w:rsidRDefault="00D5246E">
      <w:pPr>
        <w:pStyle w:val="Gvdemetni0"/>
        <w:framePr w:w="16829" w:h="4718" w:hRule="exact" w:wrap="none" w:vAnchor="page" w:hAnchor="page" w:x="8" w:y="5881"/>
        <w:shd w:val="clear" w:color="auto" w:fill="auto"/>
        <w:ind w:left="60"/>
      </w:pPr>
      <w:r>
        <w:t xml:space="preserve">İrtifak hakkı </w:t>
      </w:r>
      <w:proofErr w:type="spellStart"/>
      <w:r>
        <w:t>tes</w:t>
      </w:r>
      <w:proofErr w:type="spellEnd"/>
      <w:r>
        <w:rPr>
          <w:vertAlign w:val="subscript"/>
        </w:rPr>
        <w:t>;</w:t>
      </w:r>
      <w:proofErr w:type="spellStart"/>
      <w:r>
        <w:t>j</w:t>
      </w:r>
      <w:r>
        <w:rPr>
          <w:vertAlign w:val="subscript"/>
        </w:rPr>
        <w:t>s</w:t>
      </w:r>
      <w:proofErr w:type="spellEnd"/>
      <w:r>
        <w:t xml:space="preserve">| işlemlerine ilişkin </w:t>
      </w:r>
      <w:hyperlink r:id="rId6" w:history="1">
        <w:r>
          <w:rPr>
            <w:rStyle w:val="Kpr"/>
            <w:lang w:val="en-US"/>
          </w:rPr>
          <w:t>www.aydindefdefterdarligi.gov.tr</w:t>
        </w:r>
      </w:hyperlink>
      <w:r>
        <w:rPr>
          <w:lang w:val="en-US"/>
        </w:rPr>
        <w:t xml:space="preserve"> </w:t>
      </w:r>
      <w:r>
        <w:t xml:space="preserve">ile </w:t>
      </w:r>
      <w:hyperlink r:id="rId7" w:history="1">
        <w:r>
          <w:rPr>
            <w:rStyle w:val="Kpr"/>
            <w:lang w:val="en-US"/>
          </w:rPr>
          <w:t>www.milliemlak.gov.tr</w:t>
        </w:r>
      </w:hyperlink>
      <w:r>
        <w:rPr>
          <w:lang w:val="en-US"/>
        </w:rPr>
        <w:t xml:space="preserve"> </w:t>
      </w:r>
      <w:r>
        <w:t xml:space="preserve">internet adreslerinden ve (0 256 213 47 10) </w:t>
      </w:r>
      <w:proofErr w:type="spellStart"/>
      <w:r>
        <w:t>nolu</w:t>
      </w:r>
      <w:proofErr w:type="spellEnd"/>
      <w:r>
        <w:t xml:space="preserve"> telefondan bilgi alınabilir.</w:t>
      </w:r>
    </w:p>
    <w:p w:rsidR="00861152" w:rsidRDefault="00D5246E">
      <w:pPr>
        <w:pStyle w:val="Gvdemetni30"/>
        <w:framePr w:w="16829" w:h="4718" w:hRule="exact" w:wrap="none" w:vAnchor="page" w:hAnchor="page" w:x="8" w:y="5881"/>
        <w:shd w:val="clear" w:color="auto" w:fill="auto"/>
        <w:ind w:right="20"/>
      </w:pPr>
      <w:r>
        <w:t>Basın: 9503 w</w:t>
      </w:r>
    </w:p>
    <w:p w:rsidR="00861152" w:rsidRDefault="00D5246E">
      <w:pPr>
        <w:pStyle w:val="Balk20"/>
        <w:framePr w:wrap="none" w:vAnchor="page" w:hAnchor="page" w:x="8" w:y="10554"/>
        <w:shd w:val="clear" w:color="auto" w:fill="000000"/>
        <w:spacing w:line="170" w:lineRule="exact"/>
        <w:ind w:left="7240" w:right="6332"/>
      </w:pPr>
      <w:bookmarkStart w:id="1" w:name="bookmark1"/>
      <w:r>
        <w:rPr>
          <w:rStyle w:val="Balk21"/>
          <w:b/>
          <w:bCs/>
        </w:rPr>
        <w:t>Resmi ilanlar www.ilan.gov.</w:t>
      </w:r>
      <w:proofErr w:type="spellStart"/>
      <w:r>
        <w:rPr>
          <w:rStyle w:val="Balk21"/>
          <w:b/>
          <w:bCs/>
        </w:rPr>
        <w:t>tr’de</w:t>
      </w:r>
      <w:bookmarkEnd w:id="1"/>
      <w:proofErr w:type="spellEnd"/>
    </w:p>
    <w:p w:rsidR="00861152" w:rsidRDefault="00861152">
      <w:pPr>
        <w:rPr>
          <w:sz w:val="2"/>
          <w:szCs w:val="2"/>
        </w:rPr>
      </w:pPr>
    </w:p>
    <w:sectPr w:rsidR="00861152" w:rsidSect="00861152">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26" w:rsidRDefault="00AA7726" w:rsidP="00861152">
      <w:r>
        <w:separator/>
      </w:r>
    </w:p>
  </w:endnote>
  <w:endnote w:type="continuationSeparator" w:id="0">
    <w:p w:rsidR="00AA7726" w:rsidRDefault="00AA7726" w:rsidP="0086115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26" w:rsidRDefault="00AA7726"/>
  </w:footnote>
  <w:footnote w:type="continuationSeparator" w:id="0">
    <w:p w:rsidR="00AA7726" w:rsidRDefault="00AA772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61152"/>
    <w:rsid w:val="00610F0D"/>
    <w:rsid w:val="00842DBA"/>
    <w:rsid w:val="00861152"/>
    <w:rsid w:val="00AA7726"/>
    <w:rsid w:val="00D5246E"/>
    <w:rsid w:val="00DA17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15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61152"/>
    <w:rPr>
      <w:color w:val="000080"/>
      <w:u w:val="single"/>
    </w:rPr>
  </w:style>
  <w:style w:type="character" w:customStyle="1" w:styleId="stbilgiveyaaltbilgi">
    <w:name w:val="Üst bilgi veya alt bilgi_"/>
    <w:basedOn w:val="VarsaylanParagrafYazTipi"/>
    <w:link w:val="stbilgiveyaaltbilgi0"/>
    <w:rsid w:val="00861152"/>
    <w:rPr>
      <w:rFonts w:ascii="Arial" w:eastAsia="Arial" w:hAnsi="Arial" w:cs="Arial"/>
      <w:b w:val="0"/>
      <w:bCs w:val="0"/>
      <w:i w:val="0"/>
      <w:iCs w:val="0"/>
      <w:smallCaps w:val="0"/>
      <w:strike w:val="0"/>
      <w:sz w:val="15"/>
      <w:szCs w:val="15"/>
      <w:u w:val="none"/>
    </w:rPr>
  </w:style>
  <w:style w:type="character" w:customStyle="1" w:styleId="Balk1">
    <w:name w:val="Başlık #1_"/>
    <w:basedOn w:val="VarsaylanParagrafYazTipi"/>
    <w:link w:val="Balk10"/>
    <w:rsid w:val="00861152"/>
    <w:rPr>
      <w:rFonts w:ascii="Arial" w:eastAsia="Arial" w:hAnsi="Arial" w:cs="Arial"/>
      <w:b/>
      <w:bCs/>
      <w:i w:val="0"/>
      <w:iCs w:val="0"/>
      <w:smallCaps w:val="0"/>
      <w:strike w:val="0"/>
      <w:spacing w:val="7"/>
      <w:sz w:val="25"/>
      <w:szCs w:val="25"/>
      <w:u w:val="none"/>
    </w:rPr>
  </w:style>
  <w:style w:type="character" w:customStyle="1" w:styleId="Balk11">
    <w:name w:val="Başlık #1"/>
    <w:basedOn w:val="Balk1"/>
    <w:rsid w:val="00861152"/>
    <w:rPr>
      <w:color w:val="FFFFFF"/>
      <w:w w:val="100"/>
      <w:position w:val="0"/>
      <w:lang w:val="tr-TR"/>
    </w:rPr>
  </w:style>
  <w:style w:type="character" w:customStyle="1" w:styleId="Tabloyazs">
    <w:name w:val="Tablo yazısı_"/>
    <w:basedOn w:val="VarsaylanParagrafYazTipi"/>
    <w:link w:val="Tabloyazs0"/>
    <w:rsid w:val="00861152"/>
    <w:rPr>
      <w:rFonts w:ascii="Arial" w:eastAsia="Arial" w:hAnsi="Arial" w:cs="Arial"/>
      <w:b w:val="0"/>
      <w:bCs w:val="0"/>
      <w:i w:val="0"/>
      <w:iCs w:val="0"/>
      <w:smallCaps w:val="0"/>
      <w:strike w:val="0"/>
      <w:spacing w:val="-1"/>
      <w:sz w:val="14"/>
      <w:szCs w:val="14"/>
      <w:u w:val="none"/>
    </w:rPr>
  </w:style>
  <w:style w:type="character" w:customStyle="1" w:styleId="Tabloyazs75pt-1ptbolukbraklyor">
    <w:name w:val="Tablo yazısı + 7;5 pt;-1 pt boşluk bırakılıyor"/>
    <w:basedOn w:val="Tabloyazs"/>
    <w:rsid w:val="00861152"/>
    <w:rPr>
      <w:color w:val="000000"/>
      <w:spacing w:val="-26"/>
      <w:w w:val="100"/>
      <w:position w:val="0"/>
      <w:sz w:val="15"/>
      <w:szCs w:val="15"/>
      <w:lang w:val="tr-TR"/>
    </w:rPr>
  </w:style>
  <w:style w:type="character" w:customStyle="1" w:styleId="Tabloyazs75pt0ptbolukbraklyor">
    <w:name w:val="Tablo yazısı + 7;5 pt;0 pt boşluk bırakılıyor"/>
    <w:basedOn w:val="Tabloyazs"/>
    <w:rsid w:val="00861152"/>
    <w:rPr>
      <w:color w:val="000000"/>
      <w:spacing w:val="0"/>
      <w:w w:val="100"/>
      <w:position w:val="0"/>
      <w:sz w:val="15"/>
      <w:szCs w:val="15"/>
    </w:rPr>
  </w:style>
  <w:style w:type="character" w:customStyle="1" w:styleId="Tabloyazs75pt">
    <w:name w:val="Tablo yazısı + 7;5 pt"/>
    <w:basedOn w:val="Tabloyazs"/>
    <w:rsid w:val="00861152"/>
    <w:rPr>
      <w:color w:val="000000"/>
      <w:w w:val="100"/>
      <w:position w:val="0"/>
      <w:sz w:val="15"/>
      <w:szCs w:val="15"/>
      <w:lang w:val="tr-TR"/>
    </w:rPr>
  </w:style>
  <w:style w:type="character" w:customStyle="1" w:styleId="Gvdemetni">
    <w:name w:val="Gövde metni_"/>
    <w:basedOn w:val="VarsaylanParagrafYazTipi"/>
    <w:link w:val="Gvdemetni0"/>
    <w:rsid w:val="00861152"/>
    <w:rPr>
      <w:rFonts w:ascii="Arial" w:eastAsia="Arial" w:hAnsi="Arial" w:cs="Arial"/>
      <w:b w:val="0"/>
      <w:bCs w:val="0"/>
      <w:i w:val="0"/>
      <w:iCs w:val="0"/>
      <w:smallCaps w:val="0"/>
      <w:strike w:val="0"/>
      <w:spacing w:val="-1"/>
      <w:sz w:val="14"/>
      <w:szCs w:val="14"/>
      <w:u w:val="none"/>
    </w:rPr>
  </w:style>
  <w:style w:type="character" w:customStyle="1" w:styleId="GvdemetniKaln0ptbolukbraklyor">
    <w:name w:val="Gövde metni + Kalın;0 pt boşluk bırakılıyor"/>
    <w:basedOn w:val="Gvdemetni"/>
    <w:rsid w:val="00861152"/>
    <w:rPr>
      <w:b/>
      <w:bCs/>
      <w:color w:val="000000"/>
      <w:spacing w:val="1"/>
      <w:w w:val="100"/>
      <w:position w:val="0"/>
      <w:lang w:val="tr-TR"/>
    </w:rPr>
  </w:style>
  <w:style w:type="character" w:customStyle="1" w:styleId="Gvdemetni1">
    <w:name w:val="Gövde metni"/>
    <w:basedOn w:val="Gvdemetni"/>
    <w:rsid w:val="00861152"/>
    <w:rPr>
      <w:color w:val="000000"/>
      <w:w w:val="100"/>
      <w:position w:val="0"/>
      <w:lang w:val="tr-TR"/>
    </w:rPr>
  </w:style>
  <w:style w:type="character" w:customStyle="1" w:styleId="Gvdemetni2">
    <w:name w:val="Gövde metni (2)_"/>
    <w:basedOn w:val="VarsaylanParagrafYazTipi"/>
    <w:link w:val="Gvdemetni20"/>
    <w:rsid w:val="00861152"/>
    <w:rPr>
      <w:rFonts w:ascii="Candara" w:eastAsia="Candara" w:hAnsi="Candara" w:cs="Candara"/>
      <w:b w:val="0"/>
      <w:bCs w:val="0"/>
      <w:i w:val="0"/>
      <w:iCs w:val="0"/>
      <w:smallCaps w:val="0"/>
      <w:strike w:val="0"/>
      <w:spacing w:val="-2"/>
      <w:w w:val="200"/>
      <w:sz w:val="9"/>
      <w:szCs w:val="9"/>
      <w:u w:val="none"/>
    </w:rPr>
  </w:style>
  <w:style w:type="character" w:customStyle="1" w:styleId="Gvdemetni0ptbolukbraklyor">
    <w:name w:val="Gövde metni + 0 pt boşluk bırakılıyor"/>
    <w:basedOn w:val="Gvdemetni"/>
    <w:rsid w:val="00861152"/>
    <w:rPr>
      <w:color w:val="000000"/>
      <w:spacing w:val="0"/>
      <w:w w:val="100"/>
      <w:position w:val="0"/>
      <w:lang w:val="tr-TR"/>
    </w:rPr>
  </w:style>
  <w:style w:type="character" w:customStyle="1" w:styleId="GvdemetniKaln0ptbolukbraklyor0">
    <w:name w:val="Gövde metni + Kalın;0 pt boşluk bırakılıyor"/>
    <w:basedOn w:val="Gvdemetni"/>
    <w:rsid w:val="00861152"/>
    <w:rPr>
      <w:b/>
      <w:bCs/>
      <w:color w:val="000000"/>
      <w:spacing w:val="1"/>
      <w:w w:val="100"/>
      <w:position w:val="0"/>
      <w:lang w:val="tr-TR"/>
    </w:rPr>
  </w:style>
  <w:style w:type="character" w:customStyle="1" w:styleId="Gvdemetni6pt0ptbolukbraklyor">
    <w:name w:val="Gövde metni + 6 pt;0 pt boşluk bırakılıyor"/>
    <w:basedOn w:val="Gvdemetni"/>
    <w:rsid w:val="00861152"/>
    <w:rPr>
      <w:color w:val="000000"/>
      <w:spacing w:val="1"/>
      <w:w w:val="100"/>
      <w:position w:val="0"/>
      <w:sz w:val="12"/>
      <w:szCs w:val="12"/>
      <w:lang w:val="tr-TR"/>
    </w:rPr>
  </w:style>
  <w:style w:type="character" w:customStyle="1" w:styleId="Gvdemetni3">
    <w:name w:val="Gövde metni (3)_"/>
    <w:basedOn w:val="VarsaylanParagrafYazTipi"/>
    <w:link w:val="Gvdemetni30"/>
    <w:rsid w:val="00861152"/>
    <w:rPr>
      <w:rFonts w:ascii="Arial" w:eastAsia="Arial" w:hAnsi="Arial" w:cs="Arial"/>
      <w:b/>
      <w:bCs/>
      <w:i w:val="0"/>
      <w:iCs w:val="0"/>
      <w:smallCaps w:val="0"/>
      <w:strike w:val="0"/>
      <w:spacing w:val="1"/>
      <w:sz w:val="14"/>
      <w:szCs w:val="14"/>
      <w:u w:val="none"/>
    </w:rPr>
  </w:style>
  <w:style w:type="character" w:customStyle="1" w:styleId="Balk2">
    <w:name w:val="Başlık #2_"/>
    <w:basedOn w:val="VarsaylanParagrafYazTipi"/>
    <w:link w:val="Balk20"/>
    <w:rsid w:val="00861152"/>
    <w:rPr>
      <w:rFonts w:ascii="Arial" w:eastAsia="Arial" w:hAnsi="Arial" w:cs="Arial"/>
      <w:b/>
      <w:bCs/>
      <w:i w:val="0"/>
      <w:iCs w:val="0"/>
      <w:smallCaps w:val="0"/>
      <w:strike w:val="0"/>
      <w:spacing w:val="10"/>
      <w:sz w:val="17"/>
      <w:szCs w:val="17"/>
      <w:u w:val="none"/>
    </w:rPr>
  </w:style>
  <w:style w:type="character" w:customStyle="1" w:styleId="Balk21">
    <w:name w:val="Başlık #2"/>
    <w:basedOn w:val="Balk2"/>
    <w:rsid w:val="00861152"/>
    <w:rPr>
      <w:color w:val="FFFFFF"/>
      <w:w w:val="100"/>
      <w:position w:val="0"/>
      <w:lang w:val="tr-TR"/>
    </w:rPr>
  </w:style>
  <w:style w:type="paragraph" w:customStyle="1" w:styleId="stbilgiveyaaltbilgi0">
    <w:name w:val="Üst bilgi veya alt bilgi"/>
    <w:basedOn w:val="Normal"/>
    <w:link w:val="stbilgiveyaaltbilgi"/>
    <w:rsid w:val="00861152"/>
    <w:pPr>
      <w:shd w:val="clear" w:color="auto" w:fill="FFFFFF"/>
      <w:spacing w:line="0" w:lineRule="atLeast"/>
    </w:pPr>
    <w:rPr>
      <w:rFonts w:ascii="Arial" w:eastAsia="Arial" w:hAnsi="Arial" w:cs="Arial"/>
      <w:sz w:val="15"/>
      <w:szCs w:val="15"/>
    </w:rPr>
  </w:style>
  <w:style w:type="paragraph" w:customStyle="1" w:styleId="Balk10">
    <w:name w:val="Başlık #1"/>
    <w:basedOn w:val="Normal"/>
    <w:link w:val="Balk1"/>
    <w:rsid w:val="00861152"/>
    <w:pPr>
      <w:shd w:val="clear" w:color="auto" w:fill="FFFFFF"/>
      <w:spacing w:after="60" w:line="0" w:lineRule="atLeast"/>
      <w:outlineLvl w:val="0"/>
    </w:pPr>
    <w:rPr>
      <w:rFonts w:ascii="Arial" w:eastAsia="Arial" w:hAnsi="Arial" w:cs="Arial"/>
      <w:b/>
      <w:bCs/>
      <w:spacing w:val="7"/>
      <w:sz w:val="25"/>
      <w:szCs w:val="25"/>
    </w:rPr>
  </w:style>
  <w:style w:type="paragraph" w:customStyle="1" w:styleId="Tabloyazs0">
    <w:name w:val="Tablo yazısı"/>
    <w:basedOn w:val="Normal"/>
    <w:link w:val="Tabloyazs"/>
    <w:rsid w:val="00861152"/>
    <w:pPr>
      <w:shd w:val="clear" w:color="auto" w:fill="FFFFFF"/>
      <w:spacing w:line="144" w:lineRule="exact"/>
    </w:pPr>
    <w:rPr>
      <w:rFonts w:ascii="Arial" w:eastAsia="Arial" w:hAnsi="Arial" w:cs="Arial"/>
      <w:spacing w:val="-1"/>
      <w:sz w:val="14"/>
      <w:szCs w:val="14"/>
    </w:rPr>
  </w:style>
  <w:style w:type="paragraph" w:customStyle="1" w:styleId="Gvdemetni0">
    <w:name w:val="Gövde metni"/>
    <w:basedOn w:val="Normal"/>
    <w:link w:val="Gvdemetni"/>
    <w:rsid w:val="00861152"/>
    <w:pPr>
      <w:shd w:val="clear" w:color="auto" w:fill="FFFFFF"/>
      <w:spacing w:line="178" w:lineRule="exact"/>
    </w:pPr>
    <w:rPr>
      <w:rFonts w:ascii="Arial" w:eastAsia="Arial" w:hAnsi="Arial" w:cs="Arial"/>
      <w:spacing w:val="-1"/>
      <w:sz w:val="14"/>
      <w:szCs w:val="14"/>
    </w:rPr>
  </w:style>
  <w:style w:type="paragraph" w:customStyle="1" w:styleId="Gvdemetni20">
    <w:name w:val="Gövde metni (2)"/>
    <w:basedOn w:val="Normal"/>
    <w:link w:val="Gvdemetni2"/>
    <w:rsid w:val="00861152"/>
    <w:pPr>
      <w:shd w:val="clear" w:color="auto" w:fill="FFFFFF"/>
      <w:spacing w:before="60" w:line="178" w:lineRule="exact"/>
    </w:pPr>
    <w:rPr>
      <w:rFonts w:ascii="Candara" w:eastAsia="Candara" w:hAnsi="Candara" w:cs="Candara"/>
      <w:spacing w:val="-2"/>
      <w:w w:val="200"/>
      <w:sz w:val="9"/>
      <w:szCs w:val="9"/>
    </w:rPr>
  </w:style>
  <w:style w:type="paragraph" w:customStyle="1" w:styleId="Gvdemetni30">
    <w:name w:val="Gövde metni (3)"/>
    <w:basedOn w:val="Normal"/>
    <w:link w:val="Gvdemetni3"/>
    <w:rsid w:val="00861152"/>
    <w:pPr>
      <w:shd w:val="clear" w:color="auto" w:fill="FFFFFF"/>
      <w:spacing w:line="178" w:lineRule="exact"/>
      <w:jc w:val="right"/>
    </w:pPr>
    <w:rPr>
      <w:rFonts w:ascii="Arial" w:eastAsia="Arial" w:hAnsi="Arial" w:cs="Arial"/>
      <w:b/>
      <w:bCs/>
      <w:spacing w:val="1"/>
      <w:sz w:val="14"/>
      <w:szCs w:val="14"/>
    </w:rPr>
  </w:style>
  <w:style w:type="paragraph" w:customStyle="1" w:styleId="Balk20">
    <w:name w:val="Başlık #2"/>
    <w:basedOn w:val="Normal"/>
    <w:link w:val="Balk2"/>
    <w:rsid w:val="00861152"/>
    <w:pPr>
      <w:shd w:val="clear" w:color="auto" w:fill="FFFFFF"/>
      <w:spacing w:line="0" w:lineRule="atLeast"/>
      <w:outlineLvl w:val="1"/>
    </w:pPr>
    <w:rPr>
      <w:rFonts w:ascii="Arial" w:eastAsia="Arial" w:hAnsi="Arial" w:cs="Arial"/>
      <w:b/>
      <w:bCs/>
      <w:spacing w:val="10"/>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lliemlak.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dindefdefterdarligi.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tebernus</cp:lastModifiedBy>
  <cp:revision>3</cp:revision>
  <dcterms:created xsi:type="dcterms:W3CDTF">2013-04-25T06:09:00Z</dcterms:created>
  <dcterms:modified xsi:type="dcterms:W3CDTF">2013-02-25T08:44:00Z</dcterms:modified>
</cp:coreProperties>
</file>