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8515" w:h="523" w:hRule="exact" w:wrap="none" w:vAnchor="page" w:hAnchor="page" w:x="2029" w:y="3179"/>
        <w:widowControl w:val="0"/>
        <w:keepNext w:val="0"/>
        <w:keepLines w:val="0"/>
        <w:shd w:val="clear" w:color="auto" w:fill="auto"/>
        <w:bidi w:val="0"/>
        <w:spacing w:before="0" w:after="0"/>
        <w:ind w:left="180" w:right="0" w:firstLine="0"/>
      </w:pPr>
      <w:bookmarkStart w:id="0" w:name="bookmark0"/>
      <w:r>
        <w:rPr>
          <w:lang w:val="tr-TR"/>
          <w:w w:val="100"/>
          <w:color w:val="000000"/>
          <w:position w:val="0"/>
        </w:rPr>
        <w:t>T.C. İSTANBUL 10. İCRA MÜDÜRLÜĞÜ TAŞINMAZIN AÇIK ARTIRMA İLÂNI</w:t>
      </w:r>
      <w:bookmarkEnd w:id="0"/>
    </w:p>
    <w:p>
      <w:pPr>
        <w:pStyle w:val="Style5"/>
        <w:framePr w:w="8515" w:h="10051" w:hRule="exact" w:wrap="none" w:vAnchor="page" w:hAnchor="page" w:x="2029" w:y="3737"/>
        <w:tabs>
          <w:tab w:leader="none" w:pos="7307" w:val="left"/>
        </w:tabs>
        <w:widowControl w:val="0"/>
        <w:keepNext w:val="0"/>
        <w:keepLines w:val="0"/>
        <w:shd w:val="clear" w:color="auto" w:fill="auto"/>
        <w:bidi w:val="0"/>
        <w:jc w:val="left"/>
        <w:spacing w:before="0" w:after="161" w:line="120" w:lineRule="exact"/>
        <w:ind w:left="40" w:right="0" w:firstLine="0"/>
      </w:pPr>
      <w:r>
        <w:rPr>
          <w:lang w:val="tr-TR"/>
          <w:w w:val="100"/>
          <w:color w:val="000000"/>
          <w:position w:val="0"/>
        </w:rPr>
        <w:t>Dosya No : 2011 / 2688 Esas</w:t>
        <w:tab/>
        <w:t>Örnek No: 27*</w:t>
      </w:r>
    </w:p>
    <w:p>
      <w:pPr>
        <w:pStyle w:val="Style5"/>
        <w:framePr w:w="8515" w:h="10051" w:hRule="exact" w:wrap="none" w:vAnchor="page" w:hAnchor="page" w:x="2029" w:y="3737"/>
        <w:widowControl w:val="0"/>
        <w:keepNext w:val="0"/>
        <w:keepLines w:val="0"/>
        <w:shd w:val="clear" w:color="auto" w:fill="auto"/>
        <w:bidi w:val="0"/>
        <w:jc w:val="both"/>
        <w:spacing w:before="0" w:after="0" w:line="168" w:lineRule="exact"/>
        <w:ind w:left="40" w:right="220" w:firstLine="720"/>
      </w:pPr>
      <w:r>
        <w:rPr>
          <w:lang w:val="tr-TR"/>
          <w:w w:val="100"/>
          <w:color w:val="000000"/>
          <w:position w:val="0"/>
        </w:rPr>
        <w:t>IIK.127. maddesi gereğince, işbu satış ilanı, tapuda adresi bulunmayan ve tebligat yapılamayan ilgililere ilanen tebligat yerine kaim olacağı ilan olunur.</w:t>
      </w:r>
    </w:p>
    <w:p>
      <w:pPr>
        <w:pStyle w:val="Style7"/>
        <w:framePr w:w="8515" w:h="10051" w:hRule="exact" w:wrap="none" w:vAnchor="page" w:hAnchor="page" w:x="2029" w:y="3737"/>
        <w:widowControl w:val="0"/>
        <w:keepNext w:val="0"/>
        <w:keepLines w:val="0"/>
        <w:shd w:val="clear" w:color="auto" w:fill="auto"/>
        <w:bidi w:val="0"/>
        <w:spacing w:before="0" w:after="0"/>
        <w:ind w:left="40" w:right="0" w:firstLine="720"/>
      </w:pPr>
      <w:r>
        <w:rPr>
          <w:lang w:val="tr-TR"/>
          <w:w w:val="100"/>
          <w:color w:val="000000"/>
          <w:position w:val="0"/>
        </w:rPr>
        <w:t>Satılmasına karar verilen taşınmazın cinsi, niteliği, kıymeti, adedi, önemli özellikleri:</w:t>
      </w:r>
    </w:p>
    <w:p>
      <w:pPr>
        <w:pStyle w:val="Style5"/>
        <w:framePr w:w="8515" w:h="10051" w:hRule="exact" w:wrap="none" w:vAnchor="page" w:hAnchor="page" w:x="2029" w:y="3737"/>
        <w:widowControl w:val="0"/>
        <w:keepNext w:val="0"/>
        <w:keepLines w:val="0"/>
        <w:shd w:val="clear" w:color="auto" w:fill="auto"/>
        <w:bidi w:val="0"/>
        <w:jc w:val="both"/>
        <w:spacing w:before="0" w:after="0" w:line="168" w:lineRule="exact"/>
        <w:ind w:left="40" w:right="220" w:firstLine="720"/>
      </w:pPr>
      <w:r>
        <w:rPr>
          <w:rStyle w:val="CharStyle9"/>
        </w:rPr>
        <w:t xml:space="preserve">TAPU KAYDI </w:t>
      </w:r>
      <w:r>
        <w:rPr>
          <w:lang w:val="tr-TR"/>
          <w:w w:val="100"/>
          <w:color w:val="000000"/>
          <w:position w:val="0"/>
        </w:rPr>
        <w:t>: İstanbul İli, Kağıthane İlçesi, Merkez Mahallesi'nde kain tapuda 248.dy.4d. pafta, 6801 Ada, 1 Parselde kayıtlı 5,491.00 m2 miktarlı arsada 67/5520 Arsa Paylı A Blok 3. Normal Kat ( 14 ) Bağımsız Bölüm Nolu Konu</w:t>
        <w:softHyphen/>
        <w:t>tun tamamı.</w:t>
      </w:r>
    </w:p>
    <w:p>
      <w:pPr>
        <w:pStyle w:val="Style5"/>
        <w:framePr w:w="8515" w:h="10051" w:hRule="exact" w:wrap="none" w:vAnchor="page" w:hAnchor="page" w:x="2029" w:y="3737"/>
        <w:widowControl w:val="0"/>
        <w:keepNext w:val="0"/>
        <w:keepLines w:val="0"/>
        <w:shd w:val="clear" w:color="auto" w:fill="auto"/>
        <w:bidi w:val="0"/>
        <w:jc w:val="both"/>
        <w:spacing w:before="0" w:after="0" w:line="168" w:lineRule="exact"/>
        <w:ind w:left="40" w:right="220" w:firstLine="720"/>
      </w:pPr>
      <w:r>
        <w:rPr>
          <w:rStyle w:val="CharStyle9"/>
        </w:rPr>
        <w:t xml:space="preserve">İMAR DURUMU </w:t>
      </w:r>
      <w:r>
        <w:rPr>
          <w:lang w:val="tr-TR"/>
          <w:w w:val="100"/>
          <w:color w:val="000000"/>
          <w:position w:val="0"/>
        </w:rPr>
        <w:t>: Kağıthane Belediye Başkanlığı Pian ve Proje İşleri Müdürlüğü'nün 26/08/2011 tarih ve 5337 sayılı İmar Durumu Belgesi'ne göre satışa konu olan taşınmaz 16.06.2007 onanlı 1/1000 ölçekli Kağıthane 1. Etap Uygulama İmar Planında kısmen TK2 (TAKS : 0.25 , EMSAL : 1.80 , Hmax : 36.50 ) simgeli 08.05.1990 onaylı 1/1000 ölçekli Hasdal Sular İdaresi Toplu Konut Alanı İmar Planı hükümleri geçerli toplu konut alanında kısmen yol, kısmen orman alanı, kısmen DSI- MELEN isale hattı koruma kuşağı ve 2B alanında kalmakta olduğu bildirilmiştir.</w:t>
      </w:r>
    </w:p>
    <w:p>
      <w:pPr>
        <w:pStyle w:val="Style5"/>
        <w:framePr w:w="8515" w:h="10051" w:hRule="exact" w:wrap="none" w:vAnchor="page" w:hAnchor="page" w:x="2029" w:y="3737"/>
        <w:widowControl w:val="0"/>
        <w:keepNext w:val="0"/>
        <w:keepLines w:val="0"/>
        <w:shd w:val="clear" w:color="auto" w:fill="auto"/>
        <w:bidi w:val="0"/>
        <w:jc w:val="both"/>
        <w:spacing w:before="0" w:after="0" w:line="168" w:lineRule="exact"/>
        <w:ind w:left="40" w:right="220" w:firstLine="720"/>
      </w:pPr>
      <w:r>
        <w:rPr>
          <w:rStyle w:val="CharStyle9"/>
        </w:rPr>
        <w:t xml:space="preserve">HALI HAZIR DURUMU </w:t>
      </w:r>
      <w:r>
        <w:rPr>
          <w:lang w:val="tr-TR"/>
          <w:w w:val="100"/>
          <w:color w:val="000000"/>
          <w:position w:val="0"/>
        </w:rPr>
        <w:t>: Satışa konu taşınmaz mahallen; İstanbul İli, Kağıthane İlçesi, Hamidiye Mahallesi, Has</w:t>
        <w:softHyphen/>
        <w:t xml:space="preserve">dal ve Osmangazi Caddesi'nden girilen girilen Gaye Sokakta kain </w:t>
      </w:r>
      <w:r>
        <w:rPr>
          <w:lang w:val="en-US"/>
          <w:w w:val="100"/>
          <w:color w:val="000000"/>
          <w:position w:val="0"/>
        </w:rPr>
        <w:t xml:space="preserve">248.dy.4d </w:t>
      </w:r>
      <w:r>
        <w:rPr>
          <w:lang w:val="tr-TR"/>
          <w:w w:val="100"/>
          <w:color w:val="000000"/>
          <w:position w:val="0"/>
        </w:rPr>
        <w:t>pafta , 6801 ada , 1 parsel sayılı 5,491.00 m2' miktarlı ( 9/2 ) kapı numaralı kargir Huzur Sitesi A Blok kargir apartmanın 3. kattaki 67/5520 arsa paylı (14) bağımsız bölüm nolu dairesinin tamamıdır.</w:t>
      </w:r>
    </w:p>
    <w:p>
      <w:pPr>
        <w:pStyle w:val="Style5"/>
        <w:framePr w:w="8515" w:h="10051" w:hRule="exact" w:wrap="none" w:vAnchor="page" w:hAnchor="page" w:x="2029" w:y="3737"/>
        <w:widowControl w:val="0"/>
        <w:keepNext w:val="0"/>
        <w:keepLines w:val="0"/>
        <w:shd w:val="clear" w:color="auto" w:fill="auto"/>
        <w:bidi w:val="0"/>
        <w:jc w:val="both"/>
        <w:spacing w:before="0" w:after="0" w:line="168" w:lineRule="exact"/>
        <w:ind w:left="40" w:right="220" w:firstLine="720"/>
      </w:pPr>
      <w:r>
        <w:rPr>
          <w:lang w:val="tr-TR"/>
          <w:w w:val="100"/>
          <w:color w:val="000000"/>
          <w:position w:val="0"/>
        </w:rPr>
        <w:t>Mezkur daire ; Bodrum + Zemin + 11 Normal Katlı Binanın 3. katında yer almaktadır. Binanın normal katlarında dörder dairesi bulunmaktadır. Satışa konu daire Hasdal Kavşağı'na ve binanın arka tarafına cephelidir. Daire girişte antre + hol + koridor üzerinde mutfak + banyo + wc + 3 yatak odası + balkonlu geniş salon piyeslerinden ibarettir. Antre + koridor + mutfak + banyo zemini seramik ile kaplıdır. Mutfak ve banyoda duvarlar fayans ile kaplıdır. Mutfak tezgahı, evyesi, ahşap dolapları bulunan dairenin banyosunda lavabosu, klozeti, duşa kabini bulunmaktadır. Salon ve odalarda zemini ahşap parke, duvarları saten boyalı, pencere doğramaları P.V.C. esaslı ısıcamlıdır. Elektrik ve sıhhi tesisatı bulunan daire doğalgaz kombi ısıtmalıdır. Daire giriş kapısı ahşap çelik kapıdır. Binada çift asansörü, giriş kapısında diafonu ve sitede özel güvenlik teşkilatı bulunmaktadır. Dairenin takribi kullanım alanı brüt: 126 m2'dir.</w:t>
      </w:r>
    </w:p>
    <w:p>
      <w:pPr>
        <w:pStyle w:val="Style5"/>
        <w:framePr w:w="8515" w:h="10051" w:hRule="exact" w:wrap="none" w:vAnchor="page" w:hAnchor="page" w:x="2029" w:y="3737"/>
        <w:tabs>
          <w:tab w:leader="none" w:pos="6712" w:val="left"/>
        </w:tabs>
        <w:widowControl w:val="0"/>
        <w:keepNext w:val="0"/>
        <w:keepLines w:val="0"/>
        <w:shd w:val="clear" w:color="auto" w:fill="auto"/>
        <w:bidi w:val="0"/>
        <w:jc w:val="both"/>
        <w:spacing w:before="0" w:after="0" w:line="168" w:lineRule="exact"/>
        <w:ind w:left="40" w:right="220" w:firstLine="720"/>
      </w:pPr>
      <w:r>
        <w:rPr>
          <w:rStyle w:val="CharStyle9"/>
        </w:rPr>
        <w:t xml:space="preserve">KIYMETİ </w:t>
      </w:r>
      <w:r>
        <w:rPr>
          <w:lang w:val="tr-TR"/>
          <w:w w:val="100"/>
          <w:color w:val="000000"/>
          <w:position w:val="0"/>
        </w:rPr>
        <w:t>: Müdürlüğümüzün yukarıda yazılı dosyasından düzenlenen ve kesinleşmiş bulunan kıymet t^Jrfiri ra</w:t>
        <w:softHyphen/>
        <w:t>poruna göre satışa konu 67/5520 Arsa Paylı A Blok 3. Normal Kat ( 14 ) Bağımsız Bölüm Numaralı Konutun tarhamınâ 200.000,00-TL. değer takdir edilmiştir.</w:t>
        <w:tab/>
        <w:t>*</w:t>
      </w:r>
    </w:p>
    <w:p>
      <w:pPr>
        <w:pStyle w:val="Style7"/>
        <w:framePr w:w="8515" w:h="10051" w:hRule="exact" w:wrap="none" w:vAnchor="page" w:hAnchor="page" w:x="2029" w:y="3737"/>
        <w:widowControl w:val="0"/>
        <w:keepNext w:val="0"/>
        <w:keepLines w:val="0"/>
        <w:shd w:val="clear" w:color="auto" w:fill="auto"/>
        <w:bidi w:val="0"/>
        <w:spacing w:before="0" w:after="0"/>
        <w:ind w:left="40" w:right="0" w:firstLine="720"/>
      </w:pPr>
      <w:r>
        <w:rPr>
          <w:lang w:val="tr-TR"/>
          <w:w w:val="100"/>
          <w:color w:val="000000"/>
          <w:position w:val="0"/>
        </w:rPr>
        <w:t>SATIŞ ŞARTLARI :</w:t>
      </w:r>
    </w:p>
    <w:p>
      <w:pPr>
        <w:pStyle w:val="Style5"/>
        <w:numPr>
          <w:ilvl w:val="0"/>
          <w:numId w:val="1"/>
        </w:numPr>
        <w:framePr w:w="8515" w:h="10051" w:hRule="exact" w:wrap="none" w:vAnchor="page" w:hAnchor="page" w:x="2029" w:y="3737"/>
        <w:tabs>
          <w:tab w:leader="none" w:pos="947" w:val="left"/>
        </w:tabs>
        <w:widowControl w:val="0"/>
        <w:keepNext w:val="0"/>
        <w:keepLines w:val="0"/>
        <w:shd w:val="clear" w:color="auto" w:fill="auto"/>
        <w:bidi w:val="0"/>
        <w:jc w:val="both"/>
        <w:spacing w:before="0" w:after="0" w:line="168" w:lineRule="exact"/>
        <w:ind w:left="40" w:right="220" w:firstLine="720"/>
      </w:pPr>
      <w:r>
        <w:rPr>
          <w:lang w:val="tr-TR"/>
          <w:w w:val="100"/>
          <w:color w:val="000000"/>
          <w:position w:val="0"/>
        </w:rPr>
        <w:t>Satış 19/11 /2012 Pazartesi günü saat 10.00'dan 10.10'a kadar İstanbul 10. İcra Müdürlüğü'nde açık artırma suretiyle yapılacaktır. Bu artırmada tahmin edilen değerin % 60'ını ve rüçhanlı alacaklılar varsa alacakları toplamını ve satış giderlerini geçmek şartı ile ihale olunur. Böyle bir bedelle alıcı çıkmazsa en çok artıranın taahhüdü saklı kalmak şartiyle 29 / 11 / 2012 Perşembe günü saat 10.00'dan 10.10'a kadar İstanbul 10. İcra Müdürlüğünde ikinci artırmaya çıkarılacaktır. Bu artırmada da rüçhanlı alacaklıların alacağını ve satış giderlerini geçmesi şartıyla en çok artırana ihale olunur. Şu kadar ki, artırma bedelinin malın tahmin edilen kıymetinin % 40 ını bulması ve satış isteyenin alacağına rüçhanı olan alacakların toplamından fazla olması ve bundan başka paraya çevirme ve paylaştırma masraflarını geçmesi lazımdır. Böyle fazla bedelle alıcı çıkmazsa satış talebi düşecektir.</w:t>
      </w:r>
    </w:p>
    <w:p>
      <w:pPr>
        <w:pStyle w:val="Style5"/>
        <w:numPr>
          <w:ilvl w:val="0"/>
          <w:numId w:val="1"/>
        </w:numPr>
        <w:framePr w:w="8515" w:h="10051" w:hRule="exact" w:wrap="none" w:vAnchor="page" w:hAnchor="page" w:x="2029" w:y="3737"/>
        <w:tabs>
          <w:tab w:leader="none" w:pos="942" w:val="left"/>
        </w:tabs>
        <w:widowControl w:val="0"/>
        <w:keepNext w:val="0"/>
        <w:keepLines w:val="0"/>
        <w:shd w:val="clear" w:color="auto" w:fill="auto"/>
        <w:bidi w:val="0"/>
        <w:jc w:val="both"/>
        <w:spacing w:before="0" w:after="0" w:line="168" w:lineRule="exact"/>
        <w:ind w:left="40" w:right="220" w:firstLine="720"/>
      </w:pPr>
      <w:r>
        <w:rPr>
          <w:lang w:val="tr-TR"/>
          <w:w w:val="100"/>
          <w:color w:val="000000"/>
          <w:position w:val="0"/>
        </w:rPr>
        <w:t>Artırmaya iştirak edeceklerin, tahmin edilen değerin % 20'si oranında pey akçesi veya bu miktar kadar banka tem</w:t>
        <w:softHyphen/>
        <w:t>inat mektubu vermeleri lâzımdır. Satış peşin para iledir, alıcı istediğinde (10) günü geçmemek üzere süre verilebilir. Katma Değer Vergisi, Damga Vergisi, Tapu Alım Harcı ve masrafları alıcıya aittir. Birikmiş vergiler, Tellaliye Resmi ve Tapu Satım Harcı satış bedelinden ödenir.</w:t>
      </w:r>
    </w:p>
    <w:p>
      <w:pPr>
        <w:pStyle w:val="Style5"/>
        <w:numPr>
          <w:ilvl w:val="0"/>
          <w:numId w:val="1"/>
        </w:numPr>
        <w:framePr w:w="8515" w:h="10051" w:hRule="exact" w:wrap="none" w:vAnchor="page" w:hAnchor="page" w:x="2029" w:y="3737"/>
        <w:tabs>
          <w:tab w:leader="none" w:pos="976" w:val="left"/>
        </w:tabs>
        <w:widowControl w:val="0"/>
        <w:keepNext w:val="0"/>
        <w:keepLines w:val="0"/>
        <w:shd w:val="clear" w:color="auto" w:fill="auto"/>
        <w:bidi w:val="0"/>
        <w:jc w:val="both"/>
        <w:spacing w:before="0" w:after="0" w:line="168" w:lineRule="exact"/>
        <w:ind w:left="40" w:right="220" w:firstLine="720"/>
      </w:pPr>
      <w:r>
        <w:rPr>
          <w:lang w:val="tr-TR"/>
          <w:w w:val="100"/>
          <w:color w:val="000000"/>
          <w:position w:val="0"/>
        </w:rPr>
        <w:t>ipotek sahibi alacaklılarla diğer ilgilerin (*) bu gayrimenkul üzerindeki haklarını özellikle faiz ve giderlere dair olan iddialarını dayanağı belgeler ile (15) gün içinde dairemize bildirmeleri lazımdır; aksi takdirde haklan tapu sicil ile sabit ol</w:t>
        <w:softHyphen/>
        <w:t>madıkça paylaşmadan hariç bırakılacaktır.</w:t>
      </w:r>
    </w:p>
    <w:p>
      <w:pPr>
        <w:pStyle w:val="Style5"/>
        <w:numPr>
          <w:ilvl w:val="0"/>
          <w:numId w:val="1"/>
        </w:numPr>
        <w:framePr w:w="8515" w:h="10051" w:hRule="exact" w:wrap="none" w:vAnchor="page" w:hAnchor="page" w:x="2029" w:y="3737"/>
        <w:tabs>
          <w:tab w:leader="none" w:pos="952" w:val="left"/>
        </w:tabs>
        <w:widowControl w:val="0"/>
        <w:keepNext w:val="0"/>
        <w:keepLines w:val="0"/>
        <w:shd w:val="clear" w:color="auto" w:fill="auto"/>
        <w:bidi w:val="0"/>
        <w:jc w:val="both"/>
        <w:spacing w:before="0" w:after="0" w:line="168" w:lineRule="exact"/>
        <w:ind w:left="40" w:right="220" w:firstLine="720"/>
      </w:pPr>
      <w:r>
        <w:rPr>
          <w:lang w:val="tr-TR"/>
          <w:w w:val="100"/>
          <w:color w:val="000000"/>
          <w:position w:val="0"/>
        </w:rPr>
        <w:t>Satış bedeli hemen veya verilen mühlet içinde ödenmezse İcra ve İflas Kanunu'nun 133. maddesi gereğince ihale feshedilir. İhaleye katılıp daha sonra ihale bedelini yatırmamak sureti ile ihalenin feshine sebep olan tüm alıcılar ve kefilleri tek</w:t>
        <w:softHyphen/>
        <w:t>lif ettikleri bedel ile son ihale bedeli arasındaki farktan ve diğer zararlardan ve ayrıca temerrüt faizinden müteselsilen mesul ola</w:t>
        <w:softHyphen/>
        <w:t>caklardır. İhale farkı ve temerrüt faizi ayrıca hükme hacet kalmaksızın Dairemizce tahsil olunacak, bu fark, varsa öncelikle teminat bedelinden alınacaktır.</w:t>
      </w:r>
    </w:p>
    <w:p>
      <w:pPr>
        <w:pStyle w:val="Style5"/>
        <w:numPr>
          <w:ilvl w:val="0"/>
          <w:numId w:val="1"/>
        </w:numPr>
        <w:framePr w:w="8515" w:h="10051" w:hRule="exact" w:wrap="none" w:vAnchor="page" w:hAnchor="page" w:x="2029" w:y="3737"/>
        <w:tabs>
          <w:tab w:leader="none" w:pos="966" w:val="left"/>
        </w:tabs>
        <w:widowControl w:val="0"/>
        <w:keepNext w:val="0"/>
        <w:keepLines w:val="0"/>
        <w:shd w:val="clear" w:color="auto" w:fill="auto"/>
        <w:bidi w:val="0"/>
        <w:jc w:val="both"/>
        <w:spacing w:before="0" w:after="0" w:line="168" w:lineRule="exact"/>
        <w:ind w:left="40" w:right="220" w:firstLine="720"/>
      </w:pPr>
      <w:r>
        <w:rPr>
          <w:lang w:val="tr-TR"/>
          <w:w w:val="100"/>
          <w:color w:val="000000"/>
          <w:position w:val="0"/>
        </w:rPr>
        <w:t>Şartname, ilân tarihinden itibaren herkesin görebilmesi için dairede açık olup gideri verildiği takdirde isteyen alıcıya bir örneği gönderilebilir.</w:t>
      </w:r>
    </w:p>
    <w:p>
      <w:pPr>
        <w:pStyle w:val="Style5"/>
        <w:numPr>
          <w:ilvl w:val="0"/>
          <w:numId w:val="1"/>
        </w:numPr>
        <w:framePr w:w="8515" w:h="10051" w:hRule="exact" w:wrap="none" w:vAnchor="page" w:hAnchor="page" w:x="2029" w:y="3737"/>
        <w:tabs>
          <w:tab w:leader="none" w:pos="957" w:val="left"/>
        </w:tabs>
        <w:widowControl w:val="0"/>
        <w:keepNext w:val="0"/>
        <w:keepLines w:val="0"/>
        <w:shd w:val="clear" w:color="auto" w:fill="auto"/>
        <w:bidi w:val="0"/>
        <w:jc w:val="both"/>
        <w:spacing w:before="0" w:after="0" w:line="168" w:lineRule="exact"/>
        <w:ind w:left="40" w:right="220" w:firstLine="720"/>
      </w:pPr>
      <w:r>
        <w:rPr>
          <w:lang w:val="tr-TR"/>
          <w:w w:val="100"/>
          <w:color w:val="000000"/>
          <w:position w:val="0"/>
        </w:rPr>
        <w:t>Satışa iştirak edenlerin şartnameyi görmüş ve münderecatını kabul etmiş sayılacakları, başkaca bilgi almak isteyenlerin 2011 / 2688 Esas sayılı dosya numarasıyla müdürlüğümüze başvurmaları ilan olunur.</w:t>
      </w:r>
    </w:p>
    <w:p>
      <w:pPr>
        <w:pStyle w:val="Style5"/>
        <w:framePr w:w="8515" w:h="10051" w:hRule="exact" w:wrap="none" w:vAnchor="page" w:hAnchor="page" w:x="2029" w:y="3737"/>
        <w:widowControl w:val="0"/>
        <w:keepNext w:val="0"/>
        <w:keepLines w:val="0"/>
        <w:shd w:val="clear" w:color="auto" w:fill="auto"/>
        <w:bidi w:val="0"/>
        <w:jc w:val="left"/>
        <w:spacing w:before="0" w:after="0" w:line="168" w:lineRule="exact"/>
        <w:ind w:left="40" w:right="0" w:firstLine="0"/>
      </w:pPr>
      <w:r>
        <w:rPr>
          <w:lang w:val="tr-TR"/>
          <w:w w:val="100"/>
          <w:color w:val="000000"/>
          <w:position w:val="0"/>
        </w:rPr>
        <w:t>;ilK m. 126) (*) İlgililer tabirine irtifak hakkı sahipleri de dahildir</w:t>
      </w:r>
    </w:p>
    <w:p>
      <w:pPr>
        <w:pStyle w:val="Style5"/>
        <w:framePr w:w="8515" w:h="10051" w:hRule="exact" w:wrap="none" w:vAnchor="page" w:hAnchor="page" w:x="2029" w:y="3737"/>
        <w:widowControl w:val="0"/>
        <w:keepNext w:val="0"/>
        <w:keepLines w:val="0"/>
        <w:shd w:val="clear" w:color="auto" w:fill="auto"/>
        <w:bidi w:val="0"/>
        <w:jc w:val="left"/>
        <w:spacing w:before="0" w:after="0" w:line="168" w:lineRule="exact"/>
        <w:ind w:left="40" w:right="0" w:firstLine="0"/>
      </w:pPr>
      <w:r>
        <w:rPr>
          <w:lang w:val="tr-TR"/>
          <w:w w:val="100"/>
          <w:color w:val="000000"/>
          <w:position w:val="0"/>
        </w:rPr>
        <w:t>*: Bu örnek, bu Yönetmelikten önceki uygulamada kullanılan örnek 64'e karşılık gelmektedir.</w:t>
      </w:r>
    </w:p>
    <w:p>
      <w:pPr>
        <w:pStyle w:val="Style7"/>
        <w:framePr w:w="8515" w:h="10051" w:hRule="exact" w:wrap="none" w:vAnchor="page" w:hAnchor="page" w:x="2029" w:y="3737"/>
        <w:widowControl w:val="0"/>
        <w:keepNext w:val="0"/>
        <w:keepLines w:val="0"/>
        <w:shd w:val="clear" w:color="auto" w:fill="auto"/>
        <w:bidi w:val="0"/>
        <w:jc w:val="right"/>
        <w:spacing w:before="0" w:after="186"/>
        <w:ind w:left="0" w:right="220" w:firstLine="0"/>
      </w:pPr>
      <w:r>
        <w:rPr>
          <w:lang w:val="tr-TR"/>
          <w:w w:val="100"/>
          <w:color w:val="000000"/>
          <w:position w:val="0"/>
        </w:rPr>
        <w:t>(Basın:56148-</w:t>
      </w:r>
      <w:r>
        <w:fldChar w:fldCharType="begin"/>
      </w:r>
      <w:r>
        <w:rPr>
          <w:color w:val="000000"/>
        </w:rPr>
        <w:instrText> HYPERLINK "http://www.bik.gov.tr" </w:instrText>
      </w:r>
      <w:r>
        <w:fldChar w:fldCharType="separate"/>
      </w:r>
      <w:r>
        <w:rPr>
          <w:rStyle w:val="Hyperlink"/>
          <w:lang w:val="tr-TR"/>
          <w:w w:val="100"/>
          <w:position w:val="0"/>
        </w:rPr>
        <w:t>www.bik.gov.tr</w:t>
      </w:r>
      <w:r>
        <w:fldChar w:fldCharType="end"/>
      </w:r>
      <w:r>
        <w:rPr>
          <w:lang w:val="tr-TR"/>
          <w:w w:val="100"/>
          <w:color w:val="000000"/>
          <w:position w:val="0"/>
        </w:rPr>
        <w:t>)</w:t>
      </w:r>
    </w:p>
    <w:p>
      <w:pPr>
        <w:pStyle w:val="Style10"/>
        <w:framePr w:w="8515" w:h="10051" w:hRule="exact" w:wrap="none" w:vAnchor="page" w:hAnchor="page" w:x="2029" w:y="3737"/>
        <w:tabs>
          <w:tab w:leader="underscore" w:pos="1106" w:val="left"/>
          <w:tab w:leader="none" w:pos="2829" w:val="left"/>
        </w:tabs>
        <w:widowControl w:val="0"/>
        <w:keepNext w:val="0"/>
        <w:keepLines w:val="0"/>
        <w:shd w:val="clear" w:color="auto" w:fill="auto"/>
        <w:bidi w:val="0"/>
        <w:jc w:val="left"/>
        <w:spacing w:before="0" w:after="0" w:line="160" w:lineRule="exact"/>
        <w:ind w:left="40" w:right="0" w:firstLine="0"/>
      </w:pPr>
      <w:bookmarkStart w:id="1" w:name="bookmark1"/>
      <w:r>
        <w:rPr>
          <w:lang w:val="tr-TR"/>
          <w:w w:val="100"/>
          <w:color w:val="000000"/>
          <w:position w:val="0"/>
        </w:rPr>
        <w:tab/>
        <w:tab/>
        <w:t>Resmi İlanlar www.ilan.gov.tr’de.</w:t>
      </w:r>
      <w:bookmarkEnd w:id="1"/>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tr-TR"/>
        <w:b w:val="0"/>
        <w:bCs w:val="0"/>
        <w:i w:val="0"/>
        <w:iCs w:val="0"/>
        <w:u w:val="none"/>
        <w:strike w:val="0"/>
        <w:smallCaps w:val="0"/>
        <w:sz w:val="12"/>
        <w:szCs w:val="12"/>
        <w:rFonts w:ascii="Arial" w:eastAsia="Arial" w:hAnsi="Arial" w:cs="Arial"/>
        <w:w w:val="100"/>
        <w:spacing w:val="4"/>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tr-T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tr-TR"/>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tr-TR"/>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Başlık #1_"/>
    <w:basedOn w:val="DefaultParagraphFont"/>
    <w:link w:val="Style3"/>
    <w:rPr>
      <w:b/>
      <w:bCs/>
      <w:i w:val="0"/>
      <w:iCs w:val="0"/>
      <w:u w:val="none"/>
      <w:strike w:val="0"/>
      <w:smallCaps w:val="0"/>
      <w:sz w:val="18"/>
      <w:szCs w:val="18"/>
      <w:rFonts w:ascii="Arial" w:eastAsia="Arial" w:hAnsi="Arial" w:cs="Arial"/>
      <w:spacing w:val="4"/>
    </w:rPr>
  </w:style>
  <w:style w:type="character" w:customStyle="1" w:styleId="CharStyle6">
    <w:name w:val="Gövde metni_"/>
    <w:basedOn w:val="DefaultParagraphFont"/>
    <w:link w:val="Style5"/>
    <w:rPr>
      <w:b w:val="0"/>
      <w:bCs w:val="0"/>
      <w:i w:val="0"/>
      <w:iCs w:val="0"/>
      <w:u w:val="none"/>
      <w:strike w:val="0"/>
      <w:smallCaps w:val="0"/>
      <w:sz w:val="12"/>
      <w:szCs w:val="12"/>
      <w:rFonts w:ascii="Arial" w:eastAsia="Arial" w:hAnsi="Arial" w:cs="Arial"/>
      <w:spacing w:val="4"/>
    </w:rPr>
  </w:style>
  <w:style w:type="character" w:customStyle="1" w:styleId="CharStyle8">
    <w:name w:val="Gövde metni (2)_"/>
    <w:basedOn w:val="DefaultParagraphFont"/>
    <w:link w:val="Style7"/>
    <w:rPr>
      <w:b/>
      <w:bCs/>
      <w:i w:val="0"/>
      <w:iCs w:val="0"/>
      <w:u w:val="none"/>
      <w:strike w:val="0"/>
      <w:smallCaps w:val="0"/>
      <w:sz w:val="12"/>
      <w:szCs w:val="12"/>
      <w:rFonts w:ascii="Arial" w:eastAsia="Arial" w:hAnsi="Arial" w:cs="Arial"/>
      <w:spacing w:val="3"/>
    </w:rPr>
  </w:style>
  <w:style w:type="character" w:customStyle="1" w:styleId="CharStyle9">
    <w:name w:val="Gövde metni + Kalın,0 pt boşluk bırakılıyor"/>
    <w:basedOn w:val="CharStyle6"/>
    <w:rPr>
      <w:lang w:val="tr-TR"/>
      <w:b/>
      <w:bCs/>
      <w:w w:val="100"/>
      <w:spacing w:val="3"/>
      <w:color w:val="000000"/>
      <w:position w:val="0"/>
    </w:rPr>
  </w:style>
  <w:style w:type="character" w:customStyle="1" w:styleId="CharStyle11">
    <w:name w:val="Başlık #2_"/>
    <w:basedOn w:val="DefaultParagraphFont"/>
    <w:link w:val="Style10"/>
    <w:rPr>
      <w:b/>
      <w:bCs/>
      <w:i w:val="0"/>
      <w:iCs w:val="0"/>
      <w:u w:val="none"/>
      <w:strike w:val="0"/>
      <w:smallCaps w:val="0"/>
      <w:sz w:val="16"/>
      <w:szCs w:val="16"/>
      <w:rFonts w:ascii="Arial" w:eastAsia="Arial" w:hAnsi="Arial" w:cs="Arial"/>
      <w:spacing w:val="-2"/>
    </w:rPr>
  </w:style>
  <w:style w:type="paragraph" w:customStyle="1" w:styleId="Style3">
    <w:name w:val="Başlık #1"/>
    <w:basedOn w:val="Normal"/>
    <w:link w:val="CharStyle4"/>
    <w:pPr>
      <w:widowControl w:val="0"/>
      <w:shd w:val="clear" w:color="auto" w:fill="FFFFFF"/>
      <w:jc w:val="center"/>
      <w:outlineLvl w:val="0"/>
      <w:spacing w:after="60" w:line="230" w:lineRule="exact"/>
    </w:pPr>
    <w:rPr>
      <w:b/>
      <w:bCs/>
      <w:i w:val="0"/>
      <w:iCs w:val="0"/>
      <w:u w:val="none"/>
      <w:strike w:val="0"/>
      <w:smallCaps w:val="0"/>
      <w:sz w:val="18"/>
      <w:szCs w:val="18"/>
      <w:rFonts w:ascii="Arial" w:eastAsia="Arial" w:hAnsi="Arial" w:cs="Arial"/>
      <w:spacing w:val="4"/>
    </w:rPr>
  </w:style>
  <w:style w:type="paragraph" w:customStyle="1" w:styleId="Style5">
    <w:name w:val="Gövde metni"/>
    <w:basedOn w:val="Normal"/>
    <w:link w:val="CharStyle6"/>
    <w:pPr>
      <w:widowControl w:val="0"/>
      <w:shd w:val="clear" w:color="auto" w:fill="FFFFFF"/>
      <w:spacing w:before="60" w:after="180" w:line="0" w:lineRule="exact"/>
    </w:pPr>
    <w:rPr>
      <w:b w:val="0"/>
      <w:bCs w:val="0"/>
      <w:i w:val="0"/>
      <w:iCs w:val="0"/>
      <w:u w:val="none"/>
      <w:strike w:val="0"/>
      <w:smallCaps w:val="0"/>
      <w:sz w:val="12"/>
      <w:szCs w:val="12"/>
      <w:rFonts w:ascii="Arial" w:eastAsia="Arial" w:hAnsi="Arial" w:cs="Arial"/>
      <w:spacing w:val="4"/>
    </w:rPr>
  </w:style>
  <w:style w:type="paragraph" w:customStyle="1" w:styleId="Style7">
    <w:name w:val="Gövde metni (2)"/>
    <w:basedOn w:val="Normal"/>
    <w:link w:val="CharStyle8"/>
    <w:pPr>
      <w:widowControl w:val="0"/>
      <w:shd w:val="clear" w:color="auto" w:fill="FFFFFF"/>
      <w:jc w:val="both"/>
      <w:spacing w:line="168" w:lineRule="exact"/>
    </w:pPr>
    <w:rPr>
      <w:b/>
      <w:bCs/>
      <w:i w:val="0"/>
      <w:iCs w:val="0"/>
      <w:u w:val="none"/>
      <w:strike w:val="0"/>
      <w:smallCaps w:val="0"/>
      <w:sz w:val="12"/>
      <w:szCs w:val="12"/>
      <w:rFonts w:ascii="Arial" w:eastAsia="Arial" w:hAnsi="Arial" w:cs="Arial"/>
      <w:spacing w:val="3"/>
    </w:rPr>
  </w:style>
  <w:style w:type="paragraph" w:customStyle="1" w:styleId="Style10">
    <w:name w:val="Başlık #2"/>
    <w:basedOn w:val="Normal"/>
    <w:link w:val="CharStyle11"/>
    <w:pPr>
      <w:widowControl w:val="0"/>
      <w:shd w:val="clear" w:color="auto" w:fill="FFFFFF"/>
      <w:outlineLvl w:val="1"/>
      <w:spacing w:before="180" w:line="0" w:lineRule="exact"/>
    </w:pPr>
    <w:rPr>
      <w:b/>
      <w:bCs/>
      <w:i w:val="0"/>
      <w:iCs w:val="0"/>
      <w:u w:val="none"/>
      <w:strike w:val="0"/>
      <w:smallCaps w:val="0"/>
      <w:sz w:val="16"/>
      <w:szCs w:val="16"/>
      <w:rFonts w:ascii="Arial" w:eastAsia="Arial" w:hAnsi="Arial" w:cs="Arial"/>
      <w:spacing w:val="-2"/>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