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4A0"/>
      </w:tblPr>
      <w:tblGrid>
        <w:gridCol w:w="2861"/>
        <w:gridCol w:w="5990"/>
      </w:tblGrid>
      <w:tr w:rsidR="0017780A">
        <w:trPr>
          <w:trHeight w:hRule="exact" w:val="178"/>
          <w:jc w:val="center"/>
        </w:trPr>
        <w:tc>
          <w:tcPr>
            <w:tcW w:w="2861" w:type="dxa"/>
            <w:shd w:val="clear" w:color="auto" w:fill="000000"/>
          </w:tcPr>
          <w:p w:rsidR="0017780A" w:rsidRDefault="00980136">
            <w:pPr>
              <w:pStyle w:val="Gvdemetni0"/>
              <w:framePr w:w="8851" w:wrap="notBeside" w:vAnchor="text" w:hAnchor="text" w:xAlign="center" w:y="1"/>
              <w:shd w:val="clear" w:color="auto" w:fill="auto"/>
              <w:spacing w:line="130" w:lineRule="exact"/>
              <w:ind w:left="180"/>
              <w:jc w:val="left"/>
            </w:pPr>
            <w:r>
              <w:rPr>
                <w:rStyle w:val="Gvdemetni1"/>
              </w:rPr>
              <w:t>T.C.</w:t>
            </w:r>
          </w:p>
        </w:tc>
        <w:tc>
          <w:tcPr>
            <w:tcW w:w="5990" w:type="dxa"/>
            <w:shd w:val="clear" w:color="auto" w:fill="000000"/>
          </w:tcPr>
          <w:p w:rsidR="0017780A" w:rsidRDefault="0017780A">
            <w:pPr>
              <w:framePr w:w="8851" w:wrap="notBeside" w:vAnchor="text" w:hAnchor="text" w:xAlign="center" w:y="1"/>
              <w:rPr>
                <w:sz w:val="10"/>
                <w:szCs w:val="10"/>
              </w:rPr>
            </w:pPr>
          </w:p>
        </w:tc>
      </w:tr>
      <w:tr w:rsidR="0017780A">
        <w:trPr>
          <w:trHeight w:hRule="exact" w:val="182"/>
          <w:jc w:val="center"/>
        </w:trPr>
        <w:tc>
          <w:tcPr>
            <w:tcW w:w="2861" w:type="dxa"/>
            <w:shd w:val="clear" w:color="auto" w:fill="000000"/>
          </w:tcPr>
          <w:p w:rsidR="0017780A" w:rsidRDefault="00980136">
            <w:pPr>
              <w:pStyle w:val="Gvdemetni0"/>
              <w:framePr w:w="8851" w:wrap="notBeside" w:vAnchor="text" w:hAnchor="text" w:xAlign="center" w:y="1"/>
              <w:shd w:val="clear" w:color="auto" w:fill="auto"/>
              <w:spacing w:line="130" w:lineRule="exact"/>
              <w:ind w:left="180"/>
              <w:jc w:val="left"/>
            </w:pPr>
            <w:r>
              <w:rPr>
                <w:rStyle w:val="Gvdemetni1"/>
              </w:rPr>
              <w:t>SİLİVRİ</w:t>
            </w:r>
          </w:p>
        </w:tc>
        <w:tc>
          <w:tcPr>
            <w:tcW w:w="5990" w:type="dxa"/>
            <w:shd w:val="clear" w:color="auto" w:fill="000000"/>
          </w:tcPr>
          <w:p w:rsidR="0017780A" w:rsidRDefault="0017780A">
            <w:pPr>
              <w:framePr w:w="8851" w:wrap="notBeside" w:vAnchor="text" w:hAnchor="text" w:xAlign="center" w:y="1"/>
              <w:rPr>
                <w:sz w:val="10"/>
                <w:szCs w:val="10"/>
              </w:rPr>
            </w:pPr>
          </w:p>
        </w:tc>
      </w:tr>
      <w:tr w:rsidR="0017780A">
        <w:trPr>
          <w:trHeight w:hRule="exact" w:val="187"/>
          <w:jc w:val="center"/>
        </w:trPr>
        <w:tc>
          <w:tcPr>
            <w:tcW w:w="2861" w:type="dxa"/>
            <w:shd w:val="clear" w:color="auto" w:fill="000000"/>
          </w:tcPr>
          <w:p w:rsidR="0017780A" w:rsidRDefault="00980136">
            <w:pPr>
              <w:pStyle w:val="Gvdemetni0"/>
              <w:framePr w:w="8851" w:wrap="notBeside" w:vAnchor="text" w:hAnchor="text" w:xAlign="center" w:y="1"/>
              <w:shd w:val="clear" w:color="auto" w:fill="auto"/>
              <w:spacing w:line="130" w:lineRule="exact"/>
              <w:ind w:left="180"/>
              <w:jc w:val="left"/>
            </w:pPr>
            <w:r>
              <w:rPr>
                <w:rStyle w:val="Gvdemetni1"/>
              </w:rPr>
              <w:t>1. İCRA MÜDÛRLÖĞÜ'NDEN</w:t>
            </w:r>
          </w:p>
        </w:tc>
        <w:tc>
          <w:tcPr>
            <w:tcW w:w="5990" w:type="dxa"/>
            <w:shd w:val="clear" w:color="auto" w:fill="000000"/>
          </w:tcPr>
          <w:p w:rsidR="0017780A" w:rsidRDefault="0017780A">
            <w:pPr>
              <w:framePr w:w="8851" w:wrap="notBeside" w:vAnchor="text" w:hAnchor="text" w:xAlign="center" w:y="1"/>
              <w:rPr>
                <w:sz w:val="10"/>
                <w:szCs w:val="10"/>
              </w:rPr>
            </w:pPr>
          </w:p>
        </w:tc>
      </w:tr>
      <w:tr w:rsidR="0017780A">
        <w:trPr>
          <w:trHeight w:hRule="exact" w:val="178"/>
          <w:jc w:val="center"/>
        </w:trPr>
        <w:tc>
          <w:tcPr>
            <w:tcW w:w="2861" w:type="dxa"/>
            <w:shd w:val="clear" w:color="auto" w:fill="000000"/>
          </w:tcPr>
          <w:p w:rsidR="0017780A" w:rsidRDefault="00980136">
            <w:pPr>
              <w:pStyle w:val="Gvdemetni0"/>
              <w:framePr w:w="8851" w:wrap="notBeside" w:vAnchor="text" w:hAnchor="text" w:xAlign="center" w:y="1"/>
              <w:shd w:val="clear" w:color="auto" w:fill="auto"/>
              <w:spacing w:line="130" w:lineRule="exact"/>
              <w:ind w:left="180"/>
              <w:jc w:val="left"/>
            </w:pPr>
            <w:r>
              <w:rPr>
                <w:rStyle w:val="Gvdemetni1"/>
              </w:rPr>
              <w:t>DOSYA NO: 2011 / 229 TALİMAT</w:t>
            </w:r>
          </w:p>
        </w:tc>
        <w:tc>
          <w:tcPr>
            <w:tcW w:w="5990" w:type="dxa"/>
            <w:shd w:val="clear" w:color="auto" w:fill="000000"/>
          </w:tcPr>
          <w:p w:rsidR="0017780A" w:rsidRDefault="0017780A">
            <w:pPr>
              <w:framePr w:w="8851" w:wrap="notBeside" w:vAnchor="text" w:hAnchor="text" w:xAlign="center" w:y="1"/>
              <w:rPr>
                <w:sz w:val="10"/>
                <w:szCs w:val="10"/>
              </w:rPr>
            </w:pPr>
          </w:p>
        </w:tc>
      </w:tr>
      <w:tr w:rsidR="0017780A">
        <w:trPr>
          <w:trHeight w:hRule="exact" w:val="235"/>
          <w:jc w:val="center"/>
        </w:trPr>
        <w:tc>
          <w:tcPr>
            <w:tcW w:w="2861" w:type="dxa"/>
            <w:shd w:val="clear" w:color="auto" w:fill="000000"/>
          </w:tcPr>
          <w:p w:rsidR="0017780A" w:rsidRDefault="0017780A">
            <w:pPr>
              <w:framePr w:w="8851" w:wrap="notBeside" w:vAnchor="text" w:hAnchor="text" w:xAlign="center" w:y="1"/>
              <w:rPr>
                <w:sz w:val="10"/>
                <w:szCs w:val="10"/>
              </w:rPr>
            </w:pPr>
          </w:p>
        </w:tc>
        <w:tc>
          <w:tcPr>
            <w:tcW w:w="5990" w:type="dxa"/>
            <w:shd w:val="clear" w:color="auto" w:fill="000000"/>
          </w:tcPr>
          <w:p w:rsidR="0017780A" w:rsidRDefault="00980136">
            <w:pPr>
              <w:pStyle w:val="Gvdemetni0"/>
              <w:framePr w:w="8851" w:wrap="notBeside" w:vAnchor="text" w:hAnchor="text" w:xAlign="center" w:y="1"/>
              <w:shd w:val="clear" w:color="auto" w:fill="auto"/>
              <w:spacing w:line="130" w:lineRule="exact"/>
              <w:ind w:left="660"/>
              <w:jc w:val="left"/>
            </w:pPr>
            <w:r>
              <w:rPr>
                <w:rStyle w:val="GvdemetniKaln"/>
              </w:rPr>
              <w:t>TAŞINMAZLARIN SATIŞ İLANI</w:t>
            </w:r>
          </w:p>
        </w:tc>
      </w:tr>
    </w:tbl>
    <w:p w:rsidR="0017780A" w:rsidRDefault="0017780A">
      <w:pPr>
        <w:rPr>
          <w:sz w:val="2"/>
          <w:szCs w:val="2"/>
        </w:rPr>
      </w:pPr>
    </w:p>
    <w:p w:rsidR="0017780A" w:rsidRDefault="005500BB">
      <w:pPr>
        <w:pStyle w:val="Gvdemetni30"/>
        <w:shd w:val="clear" w:color="auto" w:fill="auto"/>
        <w:ind w:left="200"/>
      </w:pPr>
      <w:r>
        <w:pict>
          <v:shapetype id="_x0000_t202" coordsize="21600,21600" o:spt="202" path="m,l,21600r21600,l21600,xe">
            <v:stroke joinstyle="miter"/>
            <v:path gradientshapeok="t" o:connecttype="rect"/>
          </v:shapetype>
          <v:shape id="_x0000_s1026" type="#_x0000_t202" style="position:absolute;left:0;text-align:left;margin-left:295.85pt;margin-top:-1.7pt;width:131.2pt;height:48.05pt;z-index:-125829376;mso-wrap-distance-left:19.1pt;mso-wrap-distance-right:5pt;mso-wrap-distance-bottom:27.6pt;mso-position-horizontal-relative:margin;mso-position-vertical-relative:margin" filled="f" stroked="f">
            <v:textbox style="mso-fit-shape-to-text:t" inset="0,0,0,0">
              <w:txbxContent>
                <w:p w:rsidR="0017780A" w:rsidRDefault="00980136">
                  <w:pPr>
                    <w:pStyle w:val="Gvdemetni4"/>
                    <w:shd w:val="clear" w:color="auto" w:fill="auto"/>
                  </w:pPr>
                  <w:r>
                    <w:rPr>
                      <w:spacing w:val="0"/>
                    </w:rPr>
                    <w:t xml:space="preserve">Alan Shearer, Henrik Larsson, Zinedine Zidane </w:t>
                  </w:r>
                  <w:r>
                    <w:rPr>
                      <w:rStyle w:val="Gvdemetni4TrebuchetMS8ptKaln0ptbolukbraklyorExact"/>
                      <w:spacing w:val="0"/>
                    </w:rPr>
                    <w:t xml:space="preserve">Türü </w:t>
                  </w:r>
                  <w:r>
                    <w:rPr>
                      <w:spacing w:val="0"/>
                    </w:rPr>
                    <w:t xml:space="preserve">Dram-Spor </w:t>
                  </w:r>
                  <w:r>
                    <w:rPr>
                      <w:rStyle w:val="Gvdemetni4TrebuchetMS8ptKaln0ptbolukbraklyorExact"/>
                      <w:spacing w:val="0"/>
                    </w:rPr>
                    <w:t xml:space="preserve">Süre </w:t>
                  </w:r>
                  <w:r>
                    <w:rPr>
                      <w:spacing w:val="0"/>
                    </w:rPr>
                    <w:t xml:space="preserve">118 dk. </w:t>
                  </w:r>
                  <w:r>
                    <w:rPr>
                      <w:rStyle w:val="Gvdemetni4TrebuchetMS8ptKaln0ptbolukbraklyorExact"/>
                      <w:spacing w:val="0"/>
                    </w:rPr>
                    <w:t xml:space="preserve">Yapım Yılı </w:t>
                  </w:r>
                  <w:r>
                    <w:rPr>
                      <w:spacing w:val="0"/>
                    </w:rPr>
                    <w:t>2005</w:t>
                  </w:r>
                </w:p>
              </w:txbxContent>
            </v:textbox>
            <w10:wrap type="square" anchorx="margin" anchory="margin"/>
          </v:shape>
        </w:pict>
      </w:r>
      <w:r w:rsidR="00980136">
        <w:t>İpotekli olup, satışına karar alınan taşınmazın cinsi, evsafı ve kıymeti;</w:t>
      </w:r>
    </w:p>
    <w:p w:rsidR="0017780A" w:rsidRDefault="00980136">
      <w:pPr>
        <w:pStyle w:val="Gvdemetni0"/>
        <w:shd w:val="clear" w:color="auto" w:fill="auto"/>
        <w:ind w:left="200" w:right="180"/>
      </w:pPr>
      <w:r>
        <w:rPr>
          <w:rStyle w:val="GvdemetniKaln0"/>
        </w:rPr>
        <w:t>TAPU KAYDI</w:t>
      </w:r>
      <w:r>
        <w:t>: İstanbul İli, Silivri İlçesi, Alipaşa Mahallesi, Çanta yolu Mevkiinde kain ve tapunun 335 ada, 2 parselini teşkil eden 15878,40 m2 yüzölçümlü arsa vasıflı taşınmaz üzerinde; E Blokta, 10/1150 arsa paylı, 15 bağımsız bölüm nolu asma katlı işyerinin tamamı, C Blokta, 10/1150 arsa paylı, 11 bağımsız bölüm nolu asma katlı işyerinin tamamı, C Blokta, 10/1150 arsa paylı, 14 bağımsız bolüm nolu asma katlı işyerinin tamamı, D Blokta, 9/1150 arsa paylı, 14 bağımsız bölüm nolu asma katlı işyerinin tamamıdır</w:t>
      </w:r>
    </w:p>
    <w:p w:rsidR="0017780A" w:rsidRDefault="00980136">
      <w:pPr>
        <w:pStyle w:val="Gvdemetni0"/>
        <w:shd w:val="clear" w:color="auto" w:fill="auto"/>
        <w:ind w:left="200" w:right="180"/>
      </w:pPr>
      <w:r>
        <w:rPr>
          <w:rStyle w:val="GvdemetniKaln0"/>
        </w:rPr>
        <w:t xml:space="preserve">İMAR DURUMU </w:t>
      </w:r>
      <w:r>
        <w:t>: Silivri Belediye Başkanlığı Plan ve Proje Müdürlüğü'nün 23.11.2011 tarihli yazısında; İstanbul İli, Silivri İlçesi, Alipaşa Mahallesi, 335 ada, 2 parsel nolu yerin, Silivri 1/1000 ölçekli Uygulama imar Planında Sanayi alanında kaldığı, E:0,50 olarak imar durumu mevcutken parsele 26/07/2007 tarih ve 2007/197 sayılı yapı ruhsatı verildiği belirtilmiştir. Ancak, İstanbul Büyükşehir Belediyesi tarafın</w:t>
      </w:r>
      <w:r>
        <w:softHyphen/>
        <w:t>dan hazırlanan 05/03/2009 onay tarihli 1/5000 ölçekli Nazım imar Planında kısmen yolda, kısmen Taşıyıcı ve İlekten Boru Koruma Kuşağı (Park) kısm</w:t>
      </w:r>
      <w:r w:rsidR="009C0EB8">
        <w:t>en de KSS (Küçük Sanayi Sitesi)’</w:t>
      </w:r>
      <w:r>
        <w:t>nde kalmakta olup, yapılaşma şartı maksimum Emsal:0,50, Min.parsel büyüklüğü 1000 m2’dir. Ancak 1 /1000 ölçekli Uygulama İmar Planı ve 18.madde uygulamasından sonra imar durumu verilebileceği belirtilmiştir.</w:t>
      </w:r>
    </w:p>
    <w:p w:rsidR="0017780A" w:rsidRDefault="00980136">
      <w:pPr>
        <w:pStyle w:val="Gvdemetni0"/>
        <w:shd w:val="clear" w:color="auto" w:fill="auto"/>
        <w:ind w:left="200" w:right="180"/>
      </w:pPr>
      <w:r>
        <w:rPr>
          <w:rStyle w:val="GvdemetniKaln0"/>
        </w:rPr>
        <w:t>HALİHAZIR DURUMU</w:t>
      </w:r>
      <w:r w:rsidR="009C0EB8">
        <w:t>; Satışa konu taşın</w:t>
      </w:r>
      <w:r>
        <w:t>mazlann bulunduğu İstanbul ili, Silivri İlçesi, Alipaşa Mahallesi, Çanta yolu Mevkiinde kain ve tapu mm 335 ada, 2 parselini teşkil eden 15878,40 m2 yüzölçümlü arsa vasıflı taşınmaz adres olarak; Silivri'den Tekirdağ istikametine giden E- 5 karayoluna sınır konumda bulunan Silivri Sanayi Sitesinin arkasında E-5 karayoluna yaklaşık 750 m„ Maxi Alışveriş Merkezine yaklaşık 700 m., Silivri Merkezine yaklaşı</w:t>
      </w:r>
      <w:r w:rsidR="009C0EB8">
        <w:t>k</w:t>
      </w:r>
      <w:r>
        <w:t xml:space="preserve"> 6 km., Prof.Dr.Necmi Ayanoğlu Silivri Devlet Hastanesine yaklaşık 5 km., Silivri Belediye Başkanlığı ve Adliye Binasına yaklaşık 7 km. mesafede, etrafında sanayi ve villa tipi yapılaşmaların olduğu, Necati Kartal Sokakla Silivri Sanayi'sini arkadan sınırlayan yol arasında kalan 3.Etap Sanayi Sitesinde bulunmaktadır. Silivri Belediye Başkanlığı Plan ve Proje Müdürlüğünün 23/11/2011 tarihli yazısının ekinde bulunan kat planları ve yapı ruh</w:t>
      </w:r>
      <w:r w:rsidR="009C0EB8">
        <w:t>satı</w:t>
      </w:r>
      <w:r>
        <w:t xml:space="preserve"> incelendiğinde;</w:t>
      </w:r>
    </w:p>
    <w:p w:rsidR="0017780A" w:rsidRDefault="00980136">
      <w:pPr>
        <w:pStyle w:val="Gvdemetni0"/>
        <w:numPr>
          <w:ilvl w:val="0"/>
          <w:numId w:val="1"/>
        </w:numPr>
        <w:shd w:val="clear" w:color="auto" w:fill="auto"/>
        <w:tabs>
          <w:tab w:val="left" w:pos="387"/>
        </w:tabs>
        <w:ind w:left="200" w:right="180"/>
      </w:pPr>
      <w:r>
        <w:t>E Blokta,10/1 ISO arsa paylı, 15 bağımsız bölüm nolu asma katlı işyerinin dubleks ve toplanda 98,86 m" olduğu ve işyeri kapalı olduğundan içeri girilememiş, dışarıdan gözlemde içeride bazı malzemelerin olduğu tespit edilmiştir.</w:t>
      </w:r>
    </w:p>
    <w:p w:rsidR="0017780A" w:rsidRDefault="00980136">
      <w:pPr>
        <w:pStyle w:val="Gvdemetni0"/>
        <w:numPr>
          <w:ilvl w:val="0"/>
          <w:numId w:val="1"/>
        </w:numPr>
        <w:shd w:val="clear" w:color="auto" w:fill="auto"/>
        <w:tabs>
          <w:tab w:val="left" w:pos="373"/>
        </w:tabs>
        <w:ind w:left="200" w:right="180"/>
      </w:pPr>
      <w:r>
        <w:t>C Blokta, 10/1150 arsa paylı, 11 bağımsız bölüm nolu asma katlı işyerinin dubleks ve toplamda 100,91 m" olduğu ve işyeri kapalı olduğundan içeri girilememiş, dışarıdan gözlemde içerisinin boş olduğu tespit edilmiştir.</w:t>
      </w:r>
    </w:p>
    <w:p w:rsidR="0017780A" w:rsidRDefault="00980136">
      <w:pPr>
        <w:pStyle w:val="Gvdemetni0"/>
        <w:numPr>
          <w:ilvl w:val="0"/>
          <w:numId w:val="1"/>
        </w:numPr>
        <w:shd w:val="clear" w:color="auto" w:fill="auto"/>
        <w:tabs>
          <w:tab w:val="left" w:pos="373"/>
        </w:tabs>
        <w:ind w:left="200" w:right="180"/>
      </w:pPr>
      <w:r>
        <w:t>C Blokta, 10/1150 arsa</w:t>
      </w:r>
      <w:r w:rsidR="009C0EB8">
        <w:t xml:space="preserve"> </w:t>
      </w:r>
      <w:r>
        <w:t>paylı, 14 bağımsız bölüm nolu asma katlı işyerinin dubleks ve toplamda 100,91 m2 olduğu ve işyeri kapalı olduğundan içeri girilememiş, camlar kapalı olduğu için içerisi görülememiştir.</w:t>
      </w:r>
    </w:p>
    <w:p w:rsidR="0017780A" w:rsidRDefault="00980136">
      <w:pPr>
        <w:pStyle w:val="Gvdemetni0"/>
        <w:numPr>
          <w:ilvl w:val="0"/>
          <w:numId w:val="1"/>
        </w:numPr>
        <w:shd w:val="clear" w:color="auto" w:fill="auto"/>
        <w:tabs>
          <w:tab w:val="left" w:pos="378"/>
        </w:tabs>
        <w:ind w:left="200" w:right="180"/>
      </w:pPr>
      <w:r>
        <w:t>D Blokta, 9/1 ISO arsa paylı, 14 bağımsız bölüm nolu asma katlı işyerinin dubleks ve toplamda 101,18 m2 olduğu ve işyeri kapalı olduğundan içeri girilememiş, dışarıdan gözlemde ahşap İşleri yapıldığı tespit edilmiştir.</w:t>
      </w:r>
    </w:p>
    <w:p w:rsidR="0017780A" w:rsidRDefault="00980136">
      <w:pPr>
        <w:pStyle w:val="Gvdemetni30"/>
        <w:shd w:val="clear" w:color="auto" w:fill="auto"/>
        <w:ind w:left="200"/>
      </w:pPr>
      <w:r>
        <w:t>KIYMETİ: Satışa konu taşınmazların muhammen değerleri aşağıdaki tabloda yazılıdır.</w:t>
      </w:r>
    </w:p>
    <w:p w:rsidR="0017780A" w:rsidRDefault="00980136">
      <w:pPr>
        <w:pStyle w:val="Gvdemetni30"/>
        <w:shd w:val="clear" w:color="auto" w:fill="auto"/>
        <w:ind w:left="200"/>
      </w:pPr>
      <w:r>
        <w:t>SATIŞ ŞARTLARI;</w:t>
      </w:r>
    </w:p>
    <w:p w:rsidR="0017780A" w:rsidRDefault="00980136">
      <w:pPr>
        <w:pStyle w:val="Gvdemetni0"/>
        <w:shd w:val="clear" w:color="auto" w:fill="auto"/>
        <w:spacing w:after="85"/>
        <w:ind w:left="200" w:right="180"/>
      </w:pPr>
      <w:r>
        <w:t>1 -Satış aşağıdaki tabloda yazılı gün ve saatlerde Silivri Adliyesi Silivri 1. İcra Müdürlüğü'nde; açık artırma suretiyle yapılacaktır. Bu artır</w:t>
      </w:r>
      <w:r>
        <w:softHyphen/>
        <w:t>mada tahmin edi</w:t>
      </w:r>
      <w:r w:rsidR="009C0EB8">
        <w:t>len değerin % 60’ını ve rüçhanı</w:t>
      </w:r>
      <w:r>
        <w:t xml:space="preserve"> alacaklılar varsa alacakları toplamını ve satış giderlerini geçmek şartı ile ihale olunur. Böyle bir bedelle alıcı çıkmazsa en çok artıranın taahhüdü saklı kalmak şart</w:t>
      </w:r>
      <w:r w:rsidR="009C0EB8">
        <w:t>ıyla</w:t>
      </w:r>
      <w:r>
        <w:t>, yine aşağıda tabloda yazılı gün ve saatlerde Silivri Adliyesi Silivri 1. icra Müdürlüğü'nde ikinci artırmaya çıkarıla</w:t>
      </w:r>
      <w:r w:rsidR="009C0EB8">
        <w:t>caktır. Bu artırmada da rüçhanlı</w:t>
      </w:r>
      <w:r>
        <w:t xml:space="preserve"> alacaklıların alacağını ve satış giderlerini geçmesi şartıyla en çok artırana ihale olunur. Şu kadar ki, artırma bedelinin malın tahmin edilen kıymetinin %40 ını bulması ve satış isteyenin ala</w:t>
      </w:r>
      <w:r>
        <w:softHyphen/>
        <w:t>cağına rüçha</w:t>
      </w:r>
      <w:r w:rsidR="009C0EB8">
        <w:t>nı</w:t>
      </w:r>
      <w:r>
        <w:t xml:space="preserve"> olan alacakların toplamından fazla olması ve bundan başka paraya çevirme ve paylaştırma masraflarını geçmesi lazımdır. Böyle fazla bedelle alıcı çıkmazsa satış talebi düşecektir.</w:t>
      </w:r>
    </w:p>
    <w:tbl>
      <w:tblPr>
        <w:tblOverlap w:val="never"/>
        <w:tblW w:w="0" w:type="auto"/>
        <w:jc w:val="center"/>
        <w:tblLayout w:type="fixed"/>
        <w:tblCellMar>
          <w:left w:w="10" w:type="dxa"/>
          <w:right w:w="10" w:type="dxa"/>
        </w:tblCellMar>
        <w:tblLook w:val="04A0"/>
      </w:tblPr>
      <w:tblGrid>
        <w:gridCol w:w="274"/>
        <w:gridCol w:w="2861"/>
        <w:gridCol w:w="1181"/>
        <w:gridCol w:w="1253"/>
        <w:gridCol w:w="1368"/>
        <w:gridCol w:w="1718"/>
      </w:tblGrid>
      <w:tr w:rsidR="0017780A">
        <w:trPr>
          <w:trHeight w:hRule="exact" w:val="427"/>
          <w:jc w:val="center"/>
        </w:trPr>
        <w:tc>
          <w:tcPr>
            <w:tcW w:w="274" w:type="dxa"/>
            <w:tcBorders>
              <w:top w:val="single" w:sz="4" w:space="0" w:color="auto"/>
              <w:left w:val="single" w:sz="4" w:space="0" w:color="auto"/>
            </w:tcBorders>
            <w:shd w:val="clear" w:color="auto" w:fill="FFFFFF"/>
          </w:tcPr>
          <w:p w:rsidR="0017780A" w:rsidRDefault="0017780A">
            <w:pPr>
              <w:framePr w:w="8654" w:wrap="notBeside" w:vAnchor="text" w:hAnchor="text" w:xAlign="center" w:y="1"/>
              <w:rPr>
                <w:sz w:val="10"/>
                <w:szCs w:val="10"/>
              </w:rPr>
            </w:pPr>
          </w:p>
        </w:tc>
        <w:tc>
          <w:tcPr>
            <w:tcW w:w="2861"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ind w:left="540"/>
              <w:jc w:val="left"/>
            </w:pPr>
            <w:r>
              <w:rPr>
                <w:rStyle w:val="GvdemetniKaln1"/>
              </w:rPr>
              <w:t>Satışa Konu Taşınmazlar</w:t>
            </w:r>
          </w:p>
        </w:tc>
        <w:tc>
          <w:tcPr>
            <w:tcW w:w="1181" w:type="dxa"/>
            <w:tcBorders>
              <w:top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80"/>
              <w:jc w:val="left"/>
            </w:pPr>
            <w:r>
              <w:rPr>
                <w:rStyle w:val="GvdemetniKaln1"/>
              </w:rPr>
              <w:t>Muhammen</w:t>
            </w:r>
          </w:p>
          <w:p w:rsidR="0017780A" w:rsidRDefault="00980136">
            <w:pPr>
              <w:pStyle w:val="Gvdemetni0"/>
              <w:framePr w:w="8654" w:wrap="notBeside" w:vAnchor="text" w:hAnchor="text" w:xAlign="center" w:y="1"/>
              <w:shd w:val="clear" w:color="auto" w:fill="auto"/>
              <w:spacing w:line="130" w:lineRule="exact"/>
              <w:ind w:left="80"/>
              <w:jc w:val="left"/>
            </w:pPr>
            <w:r>
              <w:rPr>
                <w:rStyle w:val="GvdemetniKaln1"/>
              </w:rPr>
              <w:t>Bedelleri</w:t>
            </w:r>
          </w:p>
        </w:tc>
        <w:tc>
          <w:tcPr>
            <w:tcW w:w="1253"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82" w:lineRule="exact"/>
            </w:pPr>
            <w:r>
              <w:rPr>
                <w:rStyle w:val="Gvdemetni8"/>
              </w:rPr>
              <w:t xml:space="preserve">1 </w:t>
            </w:r>
            <w:r>
              <w:rPr>
                <w:rStyle w:val="GvdemetniKaln1"/>
              </w:rPr>
              <w:t>.Açık Arttırma Günü</w:t>
            </w:r>
          </w:p>
        </w:tc>
        <w:tc>
          <w:tcPr>
            <w:tcW w:w="1368"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82" w:lineRule="exact"/>
              <w:ind w:left="140"/>
              <w:jc w:val="left"/>
            </w:pPr>
            <w:r>
              <w:rPr>
                <w:rStyle w:val="Gvdemetni8"/>
              </w:rPr>
              <w:t xml:space="preserve">2.Açık Arttırma </w:t>
            </w:r>
            <w:r>
              <w:rPr>
                <w:rStyle w:val="GvdemetniKaln1"/>
              </w:rPr>
              <w:t>Günü</w:t>
            </w:r>
          </w:p>
        </w:tc>
        <w:tc>
          <w:tcPr>
            <w:tcW w:w="1718" w:type="dxa"/>
            <w:tcBorders>
              <w:top w:val="single" w:sz="4" w:space="0" w:color="auto"/>
              <w:right w:val="single" w:sz="4" w:space="0" w:color="auto"/>
            </w:tcBorders>
            <w:shd w:val="clear" w:color="auto" w:fill="FFFFFF"/>
          </w:tcPr>
          <w:p w:rsidR="0017780A" w:rsidRDefault="00980136">
            <w:pPr>
              <w:pStyle w:val="Gvdemetni0"/>
              <w:framePr w:w="8654" w:wrap="notBeside" w:vAnchor="text" w:hAnchor="text" w:xAlign="center" w:y="1"/>
              <w:shd w:val="clear" w:color="auto" w:fill="auto"/>
              <w:ind w:left="220"/>
              <w:jc w:val="left"/>
            </w:pPr>
            <w:r>
              <w:rPr>
                <w:rStyle w:val="Gvdemetni8"/>
              </w:rPr>
              <w:t>Açık artırma Saatleri</w:t>
            </w:r>
          </w:p>
        </w:tc>
      </w:tr>
      <w:tr w:rsidR="0017780A">
        <w:trPr>
          <w:trHeight w:hRule="exact" w:val="523"/>
          <w:jc w:val="center"/>
        </w:trPr>
        <w:tc>
          <w:tcPr>
            <w:tcW w:w="274" w:type="dxa"/>
            <w:tcBorders>
              <w:top w:val="single" w:sz="4" w:space="0" w:color="auto"/>
              <w:left w:val="single" w:sz="4" w:space="0" w:color="auto"/>
            </w:tcBorders>
            <w:shd w:val="clear" w:color="auto" w:fill="FFFFFF"/>
          </w:tcPr>
          <w:p w:rsidR="0017780A" w:rsidRDefault="0017780A">
            <w:pPr>
              <w:framePr w:w="8654" w:wrap="notBeside" w:vAnchor="text" w:hAnchor="text" w:xAlign="center" w:y="1"/>
              <w:rPr>
                <w:sz w:val="10"/>
                <w:szCs w:val="10"/>
              </w:rPr>
            </w:pPr>
          </w:p>
        </w:tc>
        <w:tc>
          <w:tcPr>
            <w:tcW w:w="8381" w:type="dxa"/>
            <w:gridSpan w:val="5"/>
            <w:tcBorders>
              <w:top w:val="single" w:sz="4" w:space="0" w:color="auto"/>
              <w:left w:val="single" w:sz="4" w:space="0" w:color="auto"/>
              <w:righ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73" w:lineRule="exact"/>
            </w:pPr>
            <w:r>
              <w:rPr>
                <w:rStyle w:val="Gvdemetni8"/>
              </w:rPr>
              <w:t>İstanbul İli, Silivri ilçesi, Alipaşa Mahallesi, Çanta yolu Mevkiinde kain ve tapunun 335 ada, 2 parselini teşkil eden 15878,40 m2 yüzölçümlü arsa vasıflı taşınmaz üzerinde;</w:t>
            </w:r>
          </w:p>
        </w:tc>
      </w:tr>
      <w:tr w:rsidR="0017780A">
        <w:trPr>
          <w:trHeight w:hRule="exact" w:val="355"/>
          <w:jc w:val="center"/>
        </w:trPr>
        <w:tc>
          <w:tcPr>
            <w:tcW w:w="274"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80"/>
              <w:jc w:val="left"/>
            </w:pPr>
            <w:r>
              <w:rPr>
                <w:rStyle w:val="Gvdemetni8"/>
              </w:rPr>
              <w:t>1</w:t>
            </w:r>
          </w:p>
        </w:tc>
        <w:tc>
          <w:tcPr>
            <w:tcW w:w="2861"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pPr>
            <w:r>
              <w:rPr>
                <w:rStyle w:val="Gvdemetni8"/>
              </w:rPr>
              <w:t>E Blokta, 10/1150 arsa paylı, (15) bağımsız bölüm nolu asma katlı işyerinin tamamı</w:t>
            </w:r>
          </w:p>
        </w:tc>
        <w:tc>
          <w:tcPr>
            <w:tcW w:w="1181"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80"/>
              <w:jc w:val="left"/>
            </w:pPr>
            <w:r>
              <w:rPr>
                <w:rStyle w:val="Gvdemetni8"/>
              </w:rPr>
              <w:t>280.000,00.-TL.</w:t>
            </w:r>
          </w:p>
        </w:tc>
        <w:tc>
          <w:tcPr>
            <w:tcW w:w="1253"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pPr>
            <w:r>
              <w:rPr>
                <w:rStyle w:val="Gvdemetni8"/>
              </w:rPr>
              <w:t>07.08.2012</w:t>
            </w:r>
          </w:p>
        </w:tc>
        <w:tc>
          <w:tcPr>
            <w:tcW w:w="1368"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140"/>
              <w:jc w:val="left"/>
            </w:pPr>
            <w:r>
              <w:rPr>
                <w:rStyle w:val="Gvdemetni8"/>
              </w:rPr>
              <w:t>17.08.2012</w:t>
            </w:r>
          </w:p>
        </w:tc>
        <w:tc>
          <w:tcPr>
            <w:tcW w:w="1718" w:type="dxa"/>
            <w:tcBorders>
              <w:top w:val="single" w:sz="4" w:space="0" w:color="auto"/>
              <w:left w:val="single" w:sz="4" w:space="0" w:color="auto"/>
              <w:righ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220"/>
              <w:jc w:val="left"/>
            </w:pPr>
            <w:r>
              <w:rPr>
                <w:rStyle w:val="Gvdemetni8"/>
              </w:rPr>
              <w:t>10:30-10:40</w:t>
            </w:r>
          </w:p>
        </w:tc>
      </w:tr>
      <w:tr w:rsidR="0017780A">
        <w:trPr>
          <w:trHeight w:hRule="exact" w:val="360"/>
          <w:jc w:val="center"/>
        </w:trPr>
        <w:tc>
          <w:tcPr>
            <w:tcW w:w="274"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80"/>
              <w:jc w:val="left"/>
            </w:pPr>
            <w:r>
              <w:rPr>
                <w:rStyle w:val="Gvdemetni8"/>
              </w:rPr>
              <w:t>2</w:t>
            </w:r>
          </w:p>
        </w:tc>
        <w:tc>
          <w:tcPr>
            <w:tcW w:w="2861"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pPr>
            <w:r>
              <w:rPr>
                <w:rStyle w:val="Gvdemetni8"/>
              </w:rPr>
              <w:t>C Blokta, 10/1150 arsa paylı, (11) bağımsız bölüm nolu asma katlı işyerinin tamamına</w:t>
            </w:r>
          </w:p>
        </w:tc>
        <w:tc>
          <w:tcPr>
            <w:tcW w:w="1181"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80"/>
              <w:jc w:val="left"/>
            </w:pPr>
            <w:r>
              <w:rPr>
                <w:rStyle w:val="Gvdemetni8"/>
              </w:rPr>
              <w:t>280.000,00.-TL</w:t>
            </w:r>
          </w:p>
        </w:tc>
        <w:tc>
          <w:tcPr>
            <w:tcW w:w="1253"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pPr>
            <w:r>
              <w:rPr>
                <w:rStyle w:val="Gvdemetni8"/>
              </w:rPr>
              <w:t>07.08.2012</w:t>
            </w:r>
          </w:p>
        </w:tc>
        <w:tc>
          <w:tcPr>
            <w:tcW w:w="1368"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140"/>
              <w:jc w:val="left"/>
            </w:pPr>
            <w:r>
              <w:rPr>
                <w:rStyle w:val="Gvdemetni8"/>
              </w:rPr>
              <w:t>17.08.2012</w:t>
            </w:r>
          </w:p>
        </w:tc>
        <w:tc>
          <w:tcPr>
            <w:tcW w:w="1718" w:type="dxa"/>
            <w:tcBorders>
              <w:top w:val="single" w:sz="4" w:space="0" w:color="auto"/>
              <w:left w:val="single" w:sz="4" w:space="0" w:color="auto"/>
              <w:righ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220"/>
              <w:jc w:val="left"/>
            </w:pPr>
            <w:r>
              <w:rPr>
                <w:rStyle w:val="Gvdemetni8"/>
              </w:rPr>
              <w:t>10:50-11:00</w:t>
            </w:r>
          </w:p>
        </w:tc>
      </w:tr>
      <w:tr w:rsidR="0017780A">
        <w:trPr>
          <w:trHeight w:hRule="exact" w:val="355"/>
          <w:jc w:val="center"/>
        </w:trPr>
        <w:tc>
          <w:tcPr>
            <w:tcW w:w="274"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80"/>
              <w:jc w:val="left"/>
            </w:pPr>
            <w:r>
              <w:rPr>
                <w:rStyle w:val="Gvdemetni8"/>
              </w:rPr>
              <w:t>3</w:t>
            </w:r>
          </w:p>
        </w:tc>
        <w:tc>
          <w:tcPr>
            <w:tcW w:w="2861"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pPr>
            <w:r>
              <w:rPr>
                <w:rStyle w:val="Gvdemetni8"/>
              </w:rPr>
              <w:t>C Blokta 10/1150 arsa paylı, (14) bağımsız bölüm nolu asma katlı işyerinin tamamına</w:t>
            </w:r>
          </w:p>
        </w:tc>
        <w:tc>
          <w:tcPr>
            <w:tcW w:w="1181"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80"/>
              <w:jc w:val="left"/>
            </w:pPr>
            <w:r>
              <w:rPr>
                <w:rStyle w:val="Gvdemetni8"/>
              </w:rPr>
              <w:t>280.000,00.-TL</w:t>
            </w:r>
          </w:p>
        </w:tc>
        <w:tc>
          <w:tcPr>
            <w:tcW w:w="1253"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pPr>
            <w:r>
              <w:rPr>
                <w:rStyle w:val="Gvdemetni8"/>
              </w:rPr>
              <w:t>07.08.2012</w:t>
            </w:r>
          </w:p>
        </w:tc>
        <w:tc>
          <w:tcPr>
            <w:tcW w:w="1368" w:type="dxa"/>
            <w:tcBorders>
              <w:top w:val="single" w:sz="4" w:space="0" w:color="auto"/>
              <w:lef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140"/>
              <w:jc w:val="left"/>
            </w:pPr>
            <w:r>
              <w:rPr>
                <w:rStyle w:val="Gvdemetni8"/>
              </w:rPr>
              <w:t>17.08.2012</w:t>
            </w:r>
          </w:p>
        </w:tc>
        <w:tc>
          <w:tcPr>
            <w:tcW w:w="1718" w:type="dxa"/>
            <w:tcBorders>
              <w:top w:val="single" w:sz="4" w:space="0" w:color="auto"/>
              <w:left w:val="single" w:sz="4" w:space="0" w:color="auto"/>
              <w:righ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220"/>
              <w:jc w:val="left"/>
            </w:pPr>
            <w:r>
              <w:rPr>
                <w:rStyle w:val="Gvdemetni8"/>
              </w:rPr>
              <w:t>11:10-11:20</w:t>
            </w:r>
          </w:p>
        </w:tc>
      </w:tr>
      <w:tr w:rsidR="0017780A">
        <w:trPr>
          <w:trHeight w:hRule="exact" w:val="466"/>
          <w:jc w:val="center"/>
        </w:trPr>
        <w:tc>
          <w:tcPr>
            <w:tcW w:w="274" w:type="dxa"/>
            <w:tcBorders>
              <w:top w:val="single" w:sz="4" w:space="0" w:color="auto"/>
              <w:left w:val="single" w:sz="4" w:space="0" w:color="auto"/>
              <w:bottom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80"/>
              <w:jc w:val="left"/>
            </w:pPr>
            <w:r>
              <w:rPr>
                <w:rStyle w:val="Gvdemetni8"/>
              </w:rPr>
              <w:t>4</w:t>
            </w:r>
          </w:p>
        </w:tc>
        <w:tc>
          <w:tcPr>
            <w:tcW w:w="2861" w:type="dxa"/>
            <w:tcBorders>
              <w:top w:val="single" w:sz="4" w:space="0" w:color="auto"/>
              <w:left w:val="single" w:sz="4" w:space="0" w:color="auto"/>
              <w:bottom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87" w:lineRule="exact"/>
            </w:pPr>
            <w:r>
              <w:rPr>
                <w:rStyle w:val="Gvdemetni8"/>
              </w:rPr>
              <w:t>D Blokta, 9/1150 arsa paylı, (14) bağımsız bölüm nolu asma katlı işyerinin tamamına</w:t>
            </w:r>
          </w:p>
        </w:tc>
        <w:tc>
          <w:tcPr>
            <w:tcW w:w="1181" w:type="dxa"/>
            <w:tcBorders>
              <w:top w:val="single" w:sz="4" w:space="0" w:color="auto"/>
              <w:left w:val="single" w:sz="4" w:space="0" w:color="auto"/>
              <w:bottom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80"/>
              <w:jc w:val="left"/>
            </w:pPr>
            <w:r>
              <w:rPr>
                <w:rStyle w:val="Gvdemetni8"/>
              </w:rPr>
              <w:t>280.000,00.-TL</w:t>
            </w:r>
          </w:p>
        </w:tc>
        <w:tc>
          <w:tcPr>
            <w:tcW w:w="1253" w:type="dxa"/>
            <w:tcBorders>
              <w:top w:val="single" w:sz="4" w:space="0" w:color="auto"/>
              <w:left w:val="single" w:sz="4" w:space="0" w:color="auto"/>
              <w:bottom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pPr>
            <w:r>
              <w:rPr>
                <w:rStyle w:val="Gvdemetni8"/>
              </w:rPr>
              <w:t>07.08.2012</w:t>
            </w:r>
          </w:p>
        </w:tc>
        <w:tc>
          <w:tcPr>
            <w:tcW w:w="1368" w:type="dxa"/>
            <w:tcBorders>
              <w:top w:val="single" w:sz="4" w:space="0" w:color="auto"/>
              <w:left w:val="single" w:sz="4" w:space="0" w:color="auto"/>
              <w:bottom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140"/>
              <w:jc w:val="left"/>
            </w:pPr>
            <w:r>
              <w:rPr>
                <w:rStyle w:val="Gvdemetni8"/>
              </w:rPr>
              <w:t>17.08.2012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7780A" w:rsidRDefault="00980136">
            <w:pPr>
              <w:pStyle w:val="Gvdemetni0"/>
              <w:framePr w:w="8654" w:wrap="notBeside" w:vAnchor="text" w:hAnchor="text" w:xAlign="center" w:y="1"/>
              <w:shd w:val="clear" w:color="auto" w:fill="auto"/>
              <w:spacing w:line="130" w:lineRule="exact"/>
              <w:ind w:left="220"/>
              <w:jc w:val="left"/>
            </w:pPr>
            <w:r>
              <w:rPr>
                <w:rStyle w:val="Gvdemetni8"/>
              </w:rPr>
              <w:t>11:30-11:40</w:t>
            </w:r>
          </w:p>
        </w:tc>
      </w:tr>
    </w:tbl>
    <w:p w:rsidR="0017780A" w:rsidRDefault="0017780A">
      <w:pPr>
        <w:rPr>
          <w:sz w:val="2"/>
          <w:szCs w:val="2"/>
        </w:rPr>
      </w:pPr>
    </w:p>
    <w:p w:rsidR="0017780A" w:rsidRDefault="00980136">
      <w:pPr>
        <w:pStyle w:val="Gvdemetni0"/>
        <w:numPr>
          <w:ilvl w:val="0"/>
          <w:numId w:val="2"/>
        </w:numPr>
        <w:shd w:val="clear" w:color="auto" w:fill="auto"/>
        <w:tabs>
          <w:tab w:val="left" w:pos="344"/>
        </w:tabs>
        <w:spacing w:before="38"/>
        <w:ind w:left="200" w:right="180"/>
      </w:pPr>
      <w:r>
        <w:t>Arttırmaya iştirak edeceklerin tahmin edilen kıymetin %20'si nispetinde pey akçesi ve bu miktar kadar milli bir bankanın teminat mek</w:t>
      </w:r>
      <w:r>
        <w:softHyphen/>
        <w:t>tubunu vermeleri lazımdır. Satış peşin para iledir. Alıcı istediğinde 10 günü geçmemek üzere mehil verilebilir. İhale pulu, tapu harç ve masrafları, KDV alıcıya aittir. Tellaliye, birikmiş vergiler ve tapu satış harcı, satış bedelinden ödenecektir.</w:t>
      </w:r>
    </w:p>
    <w:p w:rsidR="0017780A" w:rsidRDefault="00980136">
      <w:pPr>
        <w:pStyle w:val="Gvdemetni0"/>
        <w:numPr>
          <w:ilvl w:val="0"/>
          <w:numId w:val="2"/>
        </w:numPr>
        <w:shd w:val="clear" w:color="auto" w:fill="auto"/>
        <w:tabs>
          <w:tab w:val="left" w:pos="334"/>
        </w:tabs>
        <w:ind w:left="200" w:right="180"/>
      </w:pPr>
      <w:r>
        <w:t>İpotek sahibi alacaklılarla diğer ilgililerin (*) bu gayrimenkul üzerindeki haklarını hususiyle faiz ve masrafa dair olan iddialannı dayanağı belgeler ile 15 gün içerisinde dairemize bildirmeleri lazımdır. Aksi taktirde hakları tapu sicili ile sabit olmadıkça paylaşmadan hariç bırakılacaklardır.</w:t>
      </w:r>
    </w:p>
    <w:p w:rsidR="0017780A" w:rsidRDefault="00980136">
      <w:pPr>
        <w:pStyle w:val="Gvdemetni0"/>
        <w:numPr>
          <w:ilvl w:val="0"/>
          <w:numId w:val="2"/>
        </w:numPr>
        <w:shd w:val="clear" w:color="auto" w:fill="auto"/>
        <w:tabs>
          <w:tab w:val="left" w:pos="344"/>
        </w:tabs>
        <w:ind w:left="200" w:right="180"/>
      </w:pPr>
      <w:r>
        <w:t>ihaleye katılıp daha sonra ihale bedelini yatırmamak suretiyle ihalenin feshine sebep olan tüm alıcılar ve kefilleri teklif ettikleri bedel ile son ihale bedeli arasındaki far</w:t>
      </w:r>
      <w:r w:rsidR="009C0EB8">
        <w:t>ktan ve diğer zararlardan ve ayrı</w:t>
      </w:r>
      <w:r>
        <w:t>ca temerrüt faizinden müteselsilen mesul olacaklardır. İhale farkı ve temer</w:t>
      </w:r>
      <w:r>
        <w:softHyphen/>
        <w:t>rüt faizi ayrıca hükmü hacet kalmaksızın dairemizce tahsil olunacak, bu fark, varsa öncelikle teminat bedelinden alınacaktır.</w:t>
      </w:r>
    </w:p>
    <w:p w:rsidR="0017780A" w:rsidRDefault="00980136">
      <w:pPr>
        <w:pStyle w:val="Gvdemetni0"/>
        <w:numPr>
          <w:ilvl w:val="0"/>
          <w:numId w:val="2"/>
        </w:numPr>
        <w:shd w:val="clear" w:color="auto" w:fill="auto"/>
        <w:tabs>
          <w:tab w:val="left" w:pos="349"/>
        </w:tabs>
        <w:ind w:left="200" w:right="180"/>
      </w:pPr>
      <w:r>
        <w:t>Şartname, ilan tarihinden itibaren herkesin görebilmesi için dairede açık olup masrafı verildiği takdirde isteyen alıcıya bir örneği gön</w:t>
      </w:r>
      <w:r>
        <w:softHyphen/>
        <w:t>derilebilir.</w:t>
      </w:r>
    </w:p>
    <w:p w:rsidR="0017780A" w:rsidRDefault="00980136">
      <w:pPr>
        <w:pStyle w:val="Gvdemetni0"/>
        <w:numPr>
          <w:ilvl w:val="0"/>
          <w:numId w:val="2"/>
        </w:numPr>
        <w:shd w:val="clear" w:color="auto" w:fill="auto"/>
        <w:tabs>
          <w:tab w:val="left" w:pos="373"/>
        </w:tabs>
        <w:ind w:left="200" w:right="180"/>
      </w:pPr>
      <w:r>
        <w:t>Satışa iştirak edenlerin şartnameyi görmüş ve münderecatını kabul etmiş sayılacakları, başkaca bilgi almak isteyenlerin 2011/229 Talimat sayılı dosya numarasıyla Müdürlüğümüze başvurmaları ve IİK.127 maddesi gereğince, işbu satış ilanı, tapuda adresi bulunmayan ve tebligat yapılamayan ilgililere ilanen tebligat yerine kaim olacağı ilan olunur. 21.06.2012</w:t>
      </w:r>
    </w:p>
    <w:p w:rsidR="0017780A" w:rsidRDefault="00980136">
      <w:pPr>
        <w:pStyle w:val="Gvdemetni0"/>
        <w:shd w:val="clear" w:color="auto" w:fill="auto"/>
        <w:ind w:left="200"/>
      </w:pPr>
      <w:r>
        <w:t>(*) ilgililer tabirine irtifak hakkı sahipleri de dahildir</w:t>
      </w:r>
    </w:p>
    <w:p w:rsidR="0017780A" w:rsidRDefault="00980136">
      <w:pPr>
        <w:pStyle w:val="Gvdemetni0"/>
        <w:shd w:val="clear" w:color="auto" w:fill="auto"/>
        <w:spacing w:after="158"/>
        <w:ind w:left="200"/>
      </w:pPr>
      <w:r>
        <w:t>*: Bu örnek, bu Yönetmelikten önceki uygulamada kullanılan Örnek 64'e karşılık gelmektedir.</w:t>
      </w:r>
    </w:p>
    <w:p w:rsidR="0017780A" w:rsidRDefault="00980136">
      <w:pPr>
        <w:pStyle w:val="Gvdemetni30"/>
        <w:shd w:val="clear" w:color="auto" w:fill="auto"/>
        <w:spacing w:line="130" w:lineRule="exact"/>
        <w:jc w:val="center"/>
        <w:sectPr w:rsidR="0017780A">
          <w:type w:val="continuous"/>
          <w:pgSz w:w="11909" w:h="16838"/>
          <w:pgMar w:top="405" w:right="1145" w:bottom="386" w:left="1903" w:header="0" w:footer="3" w:gutter="0"/>
          <w:cols w:space="720"/>
          <w:noEndnote/>
          <w:docGrid w:linePitch="360"/>
        </w:sectPr>
      </w:pPr>
      <w:r>
        <w:t xml:space="preserve">Resmi İlanlar: www.ilan.gov.tr'de BN: 42212 </w:t>
      </w:r>
      <w:r>
        <w:rPr>
          <w:lang w:val="en-US"/>
        </w:rPr>
        <w:t>(</w:t>
      </w:r>
      <w:hyperlink r:id="rId7" w:history="1">
        <w:r>
          <w:rPr>
            <w:rStyle w:val="Kpr"/>
            <w:lang w:val="en-US"/>
          </w:rPr>
          <w:t>www.bik.gov.tr</w:t>
        </w:r>
      </w:hyperlink>
      <w:r>
        <w:rPr>
          <w:lang w:val="en-US"/>
        </w:rPr>
        <w:t>)</w:t>
      </w:r>
    </w:p>
    <w:p w:rsidR="0017780A" w:rsidRDefault="0017780A">
      <w:pPr>
        <w:spacing w:line="240" w:lineRule="exact"/>
        <w:rPr>
          <w:sz w:val="19"/>
          <w:szCs w:val="19"/>
        </w:rPr>
      </w:pPr>
    </w:p>
    <w:p w:rsidR="0017780A" w:rsidRDefault="0017780A">
      <w:pPr>
        <w:spacing w:before="28" w:after="28" w:line="240" w:lineRule="exact"/>
        <w:rPr>
          <w:sz w:val="19"/>
          <w:szCs w:val="19"/>
        </w:rPr>
      </w:pPr>
    </w:p>
    <w:p w:rsidR="0017780A" w:rsidRDefault="0017780A">
      <w:pPr>
        <w:rPr>
          <w:sz w:val="2"/>
          <w:szCs w:val="2"/>
        </w:rPr>
        <w:sectPr w:rsidR="0017780A">
          <w:type w:val="continuous"/>
          <w:pgSz w:w="11909" w:h="16838"/>
          <w:pgMar w:top="0" w:right="0" w:bottom="0" w:left="0" w:header="0" w:footer="3" w:gutter="0"/>
          <w:cols w:space="720"/>
          <w:noEndnote/>
          <w:docGrid w:linePitch="360"/>
        </w:sectPr>
      </w:pPr>
    </w:p>
    <w:p w:rsidR="0017780A" w:rsidRDefault="0017780A">
      <w:pPr>
        <w:pStyle w:val="Gvdemetni81"/>
        <w:shd w:val="clear" w:color="auto" w:fill="auto"/>
        <w:spacing w:line="320" w:lineRule="exact"/>
      </w:pPr>
    </w:p>
    <w:sectPr w:rsidR="0017780A" w:rsidSect="0017780A">
      <w:type w:val="continuous"/>
      <w:pgSz w:w="11909" w:h="16838"/>
      <w:pgMar w:top="435" w:right="10783" w:bottom="416" w:left="6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A2" w:rsidRDefault="007275A2" w:rsidP="0017780A">
      <w:r>
        <w:separator/>
      </w:r>
    </w:p>
  </w:endnote>
  <w:endnote w:type="continuationSeparator" w:id="1">
    <w:p w:rsidR="007275A2" w:rsidRDefault="007275A2" w:rsidP="0017780A">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A2" w:rsidRDefault="007275A2"/>
  </w:footnote>
  <w:footnote w:type="continuationSeparator" w:id="1">
    <w:p w:rsidR="007275A2" w:rsidRDefault="007275A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21B"/>
    <w:multiLevelType w:val="multilevel"/>
    <w:tmpl w:val="1BB2C50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148EA"/>
    <w:multiLevelType w:val="multilevel"/>
    <w:tmpl w:val="18921B62"/>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7780A"/>
    <w:rsid w:val="0017780A"/>
    <w:rsid w:val="005500BB"/>
    <w:rsid w:val="007275A2"/>
    <w:rsid w:val="008E6E99"/>
    <w:rsid w:val="00980136"/>
    <w:rsid w:val="009C0E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80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7780A"/>
    <w:rPr>
      <w:color w:val="000080"/>
      <w:u w:val="single"/>
    </w:rPr>
  </w:style>
  <w:style w:type="character" w:customStyle="1" w:styleId="Gvdemetni4Exact">
    <w:name w:val="Gövde metni (4) Exact"/>
    <w:basedOn w:val="VarsaylanParagrafYazTipi"/>
    <w:link w:val="Gvdemetni4"/>
    <w:rsid w:val="0017780A"/>
    <w:rPr>
      <w:rFonts w:ascii="Constantia" w:eastAsia="Constantia" w:hAnsi="Constantia" w:cs="Constantia"/>
      <w:b w:val="0"/>
      <w:bCs w:val="0"/>
      <w:i w:val="0"/>
      <w:iCs w:val="0"/>
      <w:smallCaps w:val="0"/>
      <w:strike w:val="0"/>
      <w:spacing w:val="7"/>
      <w:sz w:val="17"/>
      <w:szCs w:val="17"/>
      <w:u w:val="none"/>
    </w:rPr>
  </w:style>
  <w:style w:type="character" w:customStyle="1" w:styleId="Gvdemetni4TrebuchetMS8ptKaln0ptbolukbraklyorExact">
    <w:name w:val="Gövde metni (4) + Trebuchet MS;8 pt;Kalın;0 pt boşluk bırakılıyor Exact"/>
    <w:basedOn w:val="Gvdemetni4Exact"/>
    <w:rsid w:val="0017780A"/>
    <w:rPr>
      <w:rFonts w:ascii="Trebuchet MS" w:eastAsia="Trebuchet MS" w:hAnsi="Trebuchet MS" w:cs="Trebuchet MS"/>
      <w:b/>
      <w:bCs/>
      <w:color w:val="000000"/>
      <w:spacing w:val="-4"/>
      <w:w w:val="100"/>
      <w:position w:val="0"/>
      <w:sz w:val="16"/>
      <w:szCs w:val="16"/>
      <w:lang w:val="tr-TR"/>
    </w:rPr>
  </w:style>
  <w:style w:type="character" w:customStyle="1" w:styleId="Gvdemetni5Exact">
    <w:name w:val="Gövde metni (5) Exact"/>
    <w:basedOn w:val="VarsaylanParagrafYazTipi"/>
    <w:link w:val="Gvdemetni5"/>
    <w:rsid w:val="0017780A"/>
    <w:rPr>
      <w:rFonts w:ascii="Trebuchet MS" w:eastAsia="Trebuchet MS" w:hAnsi="Trebuchet MS" w:cs="Trebuchet MS"/>
      <w:b w:val="0"/>
      <w:bCs w:val="0"/>
      <w:i w:val="0"/>
      <w:iCs w:val="0"/>
      <w:smallCaps w:val="0"/>
      <w:strike w:val="0"/>
      <w:spacing w:val="-20"/>
      <w:w w:val="80"/>
      <w:sz w:val="95"/>
      <w:szCs w:val="95"/>
      <w:u w:val="none"/>
    </w:rPr>
  </w:style>
  <w:style w:type="character" w:customStyle="1" w:styleId="Gvdemetni2Exact">
    <w:name w:val="Gövde metni (2) Exact"/>
    <w:basedOn w:val="VarsaylanParagrafYazTipi"/>
    <w:rsid w:val="0017780A"/>
    <w:rPr>
      <w:rFonts w:ascii="Constantia" w:eastAsia="Constantia" w:hAnsi="Constantia" w:cs="Constantia"/>
      <w:b/>
      <w:bCs/>
      <w:i w:val="0"/>
      <w:iCs w:val="0"/>
      <w:smallCaps w:val="0"/>
      <w:strike w:val="0"/>
      <w:spacing w:val="-3"/>
      <w:sz w:val="16"/>
      <w:szCs w:val="16"/>
      <w:u w:val="none"/>
    </w:rPr>
  </w:style>
  <w:style w:type="character" w:customStyle="1" w:styleId="Gvdemetni6Exact">
    <w:name w:val="Gövde metni (6) Exact"/>
    <w:basedOn w:val="VarsaylanParagrafYazTipi"/>
    <w:link w:val="Gvdemetni6"/>
    <w:rsid w:val="0017780A"/>
    <w:rPr>
      <w:rFonts w:ascii="Constantia" w:eastAsia="Constantia" w:hAnsi="Constantia" w:cs="Constantia"/>
      <w:b w:val="0"/>
      <w:bCs w:val="0"/>
      <w:i w:val="0"/>
      <w:iCs w:val="0"/>
      <w:smallCaps w:val="0"/>
      <w:strike w:val="0"/>
      <w:spacing w:val="4"/>
      <w:sz w:val="21"/>
      <w:szCs w:val="21"/>
      <w:u w:val="none"/>
    </w:rPr>
  </w:style>
  <w:style w:type="character" w:customStyle="1" w:styleId="Gvdemetni7Exact">
    <w:name w:val="Gövde metni (7) Exact"/>
    <w:basedOn w:val="VarsaylanParagrafYazTipi"/>
    <w:link w:val="Gvdemetni7"/>
    <w:rsid w:val="0017780A"/>
    <w:rPr>
      <w:rFonts w:ascii="Trebuchet MS" w:eastAsia="Trebuchet MS" w:hAnsi="Trebuchet MS" w:cs="Trebuchet MS"/>
      <w:b/>
      <w:bCs/>
      <w:i w:val="0"/>
      <w:iCs w:val="0"/>
      <w:smallCaps w:val="0"/>
      <w:strike w:val="0"/>
      <w:sz w:val="20"/>
      <w:szCs w:val="20"/>
      <w:u w:val="none"/>
    </w:rPr>
  </w:style>
  <w:style w:type="character" w:customStyle="1" w:styleId="Gvdemetni2TrebuchetMS65ptKalnDeil0ptbolukbraklyorExact">
    <w:name w:val="Gövde metni (2) + Trebuchet MS;6;5 pt;Kalın Değil;0 pt boşluk bırakılıyor Exact"/>
    <w:basedOn w:val="Gvdemetni2"/>
    <w:rsid w:val="0017780A"/>
    <w:rPr>
      <w:rFonts w:ascii="Trebuchet MS" w:eastAsia="Trebuchet MS" w:hAnsi="Trebuchet MS" w:cs="Trebuchet MS"/>
      <w:b/>
      <w:bCs/>
      <w:spacing w:val="-13"/>
      <w:sz w:val="13"/>
      <w:szCs w:val="13"/>
    </w:rPr>
  </w:style>
  <w:style w:type="character" w:customStyle="1" w:styleId="Gvdemetni2TrebuchetMS75pt0ptbolukbraklyorExact">
    <w:name w:val="Gövde metni (2) + Trebuchet MS;7;5 pt;0 pt boşluk bırakılıyor Exact"/>
    <w:basedOn w:val="Gvdemetni2"/>
    <w:rsid w:val="0017780A"/>
    <w:rPr>
      <w:rFonts w:ascii="Trebuchet MS" w:eastAsia="Trebuchet MS" w:hAnsi="Trebuchet MS" w:cs="Trebuchet MS"/>
      <w:spacing w:val="-7"/>
      <w:sz w:val="15"/>
      <w:szCs w:val="15"/>
    </w:rPr>
  </w:style>
  <w:style w:type="character" w:customStyle="1" w:styleId="Gvdemetni2">
    <w:name w:val="Gövde metni (2)_"/>
    <w:basedOn w:val="VarsaylanParagrafYazTipi"/>
    <w:link w:val="Gvdemetni20"/>
    <w:rsid w:val="0017780A"/>
    <w:rPr>
      <w:rFonts w:ascii="Constantia" w:eastAsia="Constantia" w:hAnsi="Constantia" w:cs="Constantia"/>
      <w:b/>
      <w:bCs/>
      <w:i w:val="0"/>
      <w:iCs w:val="0"/>
      <w:smallCaps w:val="0"/>
      <w:strike w:val="0"/>
      <w:sz w:val="17"/>
      <w:szCs w:val="17"/>
      <w:u w:val="none"/>
    </w:rPr>
  </w:style>
  <w:style w:type="character" w:customStyle="1" w:styleId="Gvdemetni2TrebuchetMS8pt">
    <w:name w:val="Gövde metni (2) + Trebuchet MS;8 pt"/>
    <w:basedOn w:val="Gvdemetni2"/>
    <w:rsid w:val="0017780A"/>
    <w:rPr>
      <w:rFonts w:ascii="Trebuchet MS" w:eastAsia="Trebuchet MS" w:hAnsi="Trebuchet MS" w:cs="Trebuchet MS"/>
      <w:color w:val="000000"/>
      <w:spacing w:val="0"/>
      <w:w w:val="100"/>
      <w:position w:val="0"/>
      <w:sz w:val="16"/>
      <w:szCs w:val="16"/>
      <w:lang w:val="tr-TR"/>
    </w:rPr>
  </w:style>
  <w:style w:type="character" w:customStyle="1" w:styleId="Gvdemetni">
    <w:name w:val="Gövde metni_"/>
    <w:basedOn w:val="VarsaylanParagrafYazTipi"/>
    <w:link w:val="Gvdemetni0"/>
    <w:rsid w:val="0017780A"/>
    <w:rPr>
      <w:rFonts w:ascii="Trebuchet MS" w:eastAsia="Trebuchet MS" w:hAnsi="Trebuchet MS" w:cs="Trebuchet MS"/>
      <w:b w:val="0"/>
      <w:bCs w:val="0"/>
      <w:i w:val="0"/>
      <w:iCs w:val="0"/>
      <w:smallCaps w:val="0"/>
      <w:strike w:val="0"/>
      <w:sz w:val="13"/>
      <w:szCs w:val="13"/>
      <w:u w:val="none"/>
    </w:rPr>
  </w:style>
  <w:style w:type="character" w:customStyle="1" w:styleId="Gvdemetni1">
    <w:name w:val="Gövde metni"/>
    <w:basedOn w:val="Gvdemetni"/>
    <w:rsid w:val="0017780A"/>
    <w:rPr>
      <w:color w:val="FFFFFF"/>
      <w:spacing w:val="0"/>
      <w:w w:val="100"/>
      <w:position w:val="0"/>
      <w:lang w:val="tr-TR"/>
    </w:rPr>
  </w:style>
  <w:style w:type="character" w:customStyle="1" w:styleId="GvdemetniKaln">
    <w:name w:val="Gövde metni + Kalın"/>
    <w:basedOn w:val="Gvdemetni"/>
    <w:rsid w:val="0017780A"/>
    <w:rPr>
      <w:b/>
      <w:bCs/>
      <w:color w:val="FFFFFF"/>
      <w:spacing w:val="0"/>
      <w:w w:val="100"/>
      <w:position w:val="0"/>
      <w:lang w:val="tr-TR"/>
    </w:rPr>
  </w:style>
  <w:style w:type="character" w:customStyle="1" w:styleId="Gvdemetni3">
    <w:name w:val="Gövde metni (3)_"/>
    <w:basedOn w:val="VarsaylanParagrafYazTipi"/>
    <w:link w:val="Gvdemetni30"/>
    <w:rsid w:val="0017780A"/>
    <w:rPr>
      <w:rFonts w:ascii="Trebuchet MS" w:eastAsia="Trebuchet MS" w:hAnsi="Trebuchet MS" w:cs="Trebuchet MS"/>
      <w:b/>
      <w:bCs/>
      <w:i w:val="0"/>
      <w:iCs w:val="0"/>
      <w:smallCaps w:val="0"/>
      <w:strike w:val="0"/>
      <w:sz w:val="13"/>
      <w:szCs w:val="13"/>
      <w:u w:val="none"/>
    </w:rPr>
  </w:style>
  <w:style w:type="character" w:customStyle="1" w:styleId="GvdemetniKaln0">
    <w:name w:val="Gövde metni + Kalın"/>
    <w:basedOn w:val="Gvdemetni"/>
    <w:rsid w:val="0017780A"/>
    <w:rPr>
      <w:b/>
      <w:bCs/>
      <w:color w:val="000000"/>
      <w:spacing w:val="0"/>
      <w:w w:val="100"/>
      <w:position w:val="0"/>
      <w:lang w:val="tr-TR"/>
    </w:rPr>
  </w:style>
  <w:style w:type="character" w:customStyle="1" w:styleId="GvdemetniKaln1">
    <w:name w:val="Gövde metni + Kalın"/>
    <w:basedOn w:val="Gvdemetni"/>
    <w:rsid w:val="0017780A"/>
    <w:rPr>
      <w:b/>
      <w:bCs/>
      <w:color w:val="000000"/>
      <w:spacing w:val="0"/>
      <w:w w:val="100"/>
      <w:position w:val="0"/>
      <w:lang w:val="tr-TR"/>
    </w:rPr>
  </w:style>
  <w:style w:type="character" w:customStyle="1" w:styleId="Gvdemetni8">
    <w:name w:val="Gövde metni"/>
    <w:basedOn w:val="Gvdemetni"/>
    <w:rsid w:val="0017780A"/>
    <w:rPr>
      <w:color w:val="000000"/>
      <w:spacing w:val="0"/>
      <w:w w:val="100"/>
      <w:position w:val="0"/>
      <w:lang w:val="tr-TR"/>
    </w:rPr>
  </w:style>
  <w:style w:type="character" w:customStyle="1" w:styleId="Gvdemetni80">
    <w:name w:val="Gövde metni (8)_"/>
    <w:basedOn w:val="VarsaylanParagrafYazTipi"/>
    <w:link w:val="Gvdemetni81"/>
    <w:rsid w:val="0017780A"/>
    <w:rPr>
      <w:rFonts w:ascii="Consolas" w:eastAsia="Consolas" w:hAnsi="Consolas" w:cs="Consolas"/>
      <w:b w:val="0"/>
      <w:bCs w:val="0"/>
      <w:i w:val="0"/>
      <w:iCs w:val="0"/>
      <w:smallCaps w:val="0"/>
      <w:strike w:val="0"/>
      <w:sz w:val="32"/>
      <w:szCs w:val="32"/>
      <w:u w:val="none"/>
    </w:rPr>
  </w:style>
  <w:style w:type="paragraph" w:customStyle="1" w:styleId="Gvdemetni4">
    <w:name w:val="Gövde metni (4)"/>
    <w:basedOn w:val="Normal"/>
    <w:link w:val="Gvdemetni4Exact"/>
    <w:rsid w:val="0017780A"/>
    <w:pPr>
      <w:shd w:val="clear" w:color="auto" w:fill="FFFFFF"/>
      <w:spacing w:line="240" w:lineRule="exact"/>
      <w:jc w:val="center"/>
    </w:pPr>
    <w:rPr>
      <w:rFonts w:ascii="Constantia" w:eastAsia="Constantia" w:hAnsi="Constantia" w:cs="Constantia"/>
      <w:spacing w:val="7"/>
      <w:sz w:val="17"/>
      <w:szCs w:val="17"/>
    </w:rPr>
  </w:style>
  <w:style w:type="paragraph" w:customStyle="1" w:styleId="Gvdemetni5">
    <w:name w:val="Gövde metni (5)"/>
    <w:basedOn w:val="Normal"/>
    <w:link w:val="Gvdemetni5Exact"/>
    <w:rsid w:val="0017780A"/>
    <w:pPr>
      <w:shd w:val="clear" w:color="auto" w:fill="FFFFFF"/>
      <w:spacing w:after="300" w:line="0" w:lineRule="atLeast"/>
    </w:pPr>
    <w:rPr>
      <w:rFonts w:ascii="Trebuchet MS" w:eastAsia="Trebuchet MS" w:hAnsi="Trebuchet MS" w:cs="Trebuchet MS"/>
      <w:spacing w:val="-20"/>
      <w:w w:val="80"/>
      <w:sz w:val="95"/>
      <w:szCs w:val="95"/>
    </w:rPr>
  </w:style>
  <w:style w:type="paragraph" w:customStyle="1" w:styleId="Gvdemetni20">
    <w:name w:val="Gövde metni (2)"/>
    <w:basedOn w:val="Normal"/>
    <w:link w:val="Gvdemetni2"/>
    <w:rsid w:val="0017780A"/>
    <w:pPr>
      <w:shd w:val="clear" w:color="auto" w:fill="FFFFFF"/>
      <w:spacing w:after="540" w:line="240" w:lineRule="exact"/>
    </w:pPr>
    <w:rPr>
      <w:rFonts w:ascii="Constantia" w:eastAsia="Constantia" w:hAnsi="Constantia" w:cs="Constantia"/>
      <w:b/>
      <w:bCs/>
      <w:sz w:val="17"/>
      <w:szCs w:val="17"/>
    </w:rPr>
  </w:style>
  <w:style w:type="paragraph" w:customStyle="1" w:styleId="Gvdemetni6">
    <w:name w:val="Gövde metni (6)"/>
    <w:basedOn w:val="Normal"/>
    <w:link w:val="Gvdemetni6Exact"/>
    <w:rsid w:val="0017780A"/>
    <w:pPr>
      <w:shd w:val="clear" w:color="auto" w:fill="FFFFFF"/>
      <w:spacing w:before="420" w:line="240" w:lineRule="exact"/>
    </w:pPr>
    <w:rPr>
      <w:rFonts w:ascii="Constantia" w:eastAsia="Constantia" w:hAnsi="Constantia" w:cs="Constantia"/>
      <w:spacing w:val="4"/>
      <w:sz w:val="21"/>
      <w:szCs w:val="21"/>
    </w:rPr>
  </w:style>
  <w:style w:type="paragraph" w:customStyle="1" w:styleId="Gvdemetni7">
    <w:name w:val="Gövde metni (7)"/>
    <w:basedOn w:val="Normal"/>
    <w:link w:val="Gvdemetni7Exact"/>
    <w:rsid w:val="0017780A"/>
    <w:pPr>
      <w:shd w:val="clear" w:color="auto" w:fill="FFFFFF"/>
      <w:spacing w:line="240" w:lineRule="exact"/>
    </w:pPr>
    <w:rPr>
      <w:rFonts w:ascii="Trebuchet MS" w:eastAsia="Trebuchet MS" w:hAnsi="Trebuchet MS" w:cs="Trebuchet MS"/>
      <w:b/>
      <w:bCs/>
      <w:sz w:val="20"/>
      <w:szCs w:val="20"/>
    </w:rPr>
  </w:style>
  <w:style w:type="paragraph" w:customStyle="1" w:styleId="Gvdemetni0">
    <w:name w:val="Gövde metni"/>
    <w:basedOn w:val="Normal"/>
    <w:link w:val="Gvdemetni"/>
    <w:rsid w:val="0017780A"/>
    <w:pPr>
      <w:shd w:val="clear" w:color="auto" w:fill="FFFFFF"/>
      <w:spacing w:line="178" w:lineRule="exact"/>
      <w:jc w:val="both"/>
    </w:pPr>
    <w:rPr>
      <w:rFonts w:ascii="Trebuchet MS" w:eastAsia="Trebuchet MS" w:hAnsi="Trebuchet MS" w:cs="Trebuchet MS"/>
      <w:sz w:val="13"/>
      <w:szCs w:val="13"/>
    </w:rPr>
  </w:style>
  <w:style w:type="paragraph" w:customStyle="1" w:styleId="Gvdemetni30">
    <w:name w:val="Gövde metni (3)"/>
    <w:basedOn w:val="Normal"/>
    <w:link w:val="Gvdemetni3"/>
    <w:rsid w:val="0017780A"/>
    <w:pPr>
      <w:shd w:val="clear" w:color="auto" w:fill="FFFFFF"/>
      <w:spacing w:line="178" w:lineRule="exact"/>
      <w:jc w:val="both"/>
    </w:pPr>
    <w:rPr>
      <w:rFonts w:ascii="Trebuchet MS" w:eastAsia="Trebuchet MS" w:hAnsi="Trebuchet MS" w:cs="Trebuchet MS"/>
      <w:b/>
      <w:bCs/>
      <w:sz w:val="13"/>
      <w:szCs w:val="13"/>
    </w:rPr>
  </w:style>
  <w:style w:type="paragraph" w:customStyle="1" w:styleId="Gvdemetni81">
    <w:name w:val="Gövde metni (8)"/>
    <w:basedOn w:val="Normal"/>
    <w:link w:val="Gvdemetni80"/>
    <w:rsid w:val="0017780A"/>
    <w:pPr>
      <w:shd w:val="clear" w:color="auto" w:fill="FFFFFF"/>
      <w:spacing w:line="0" w:lineRule="atLeast"/>
    </w:pPr>
    <w:rPr>
      <w:rFonts w:ascii="Consolas" w:eastAsia="Consolas" w:hAnsi="Consolas" w:cs="Consola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tkemlak</dc:creator>
  <cp:lastModifiedBy>tktk</cp:lastModifiedBy>
  <cp:revision>2</cp:revision>
  <dcterms:created xsi:type="dcterms:W3CDTF">2012-07-04T10:26:00Z</dcterms:created>
  <dcterms:modified xsi:type="dcterms:W3CDTF">2012-07-04T13:47:00Z</dcterms:modified>
</cp:coreProperties>
</file>