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CD" w:rsidRDefault="00EC4C2C">
      <w:pPr>
        <w:pStyle w:val="Balk10"/>
        <w:keepNext/>
        <w:keepLines/>
        <w:shd w:val="clear" w:color="auto" w:fill="auto"/>
        <w:spacing w:after="17" w:line="250" w:lineRule="exact"/>
        <w:ind w:left="4740"/>
      </w:pPr>
      <w:bookmarkStart w:id="0" w:name="bookmark0"/>
      <w:r>
        <w:t>YOMRA</w:t>
      </w:r>
      <w:bookmarkEnd w:id="0"/>
      <w:r w:rsidR="00B333A0">
        <w:t xml:space="preserve"> </w:t>
      </w:r>
      <w:r w:rsidR="002C7568">
        <w:t xml:space="preserve"> MAL</w:t>
      </w:r>
      <w:r w:rsidR="00B333A0">
        <w:t xml:space="preserve">  MÜDÜRLÜĞÜ’NDEN İLAN</w:t>
      </w:r>
    </w:p>
    <w:p w:rsidR="00B333A0" w:rsidRDefault="00B333A0">
      <w:pPr>
        <w:pStyle w:val="Balk10"/>
        <w:keepNext/>
        <w:keepLines/>
        <w:shd w:val="clear" w:color="auto" w:fill="auto"/>
        <w:spacing w:after="17" w:line="250" w:lineRule="exact"/>
        <w:ind w:left="4740"/>
      </w:pPr>
    </w:p>
    <w:p w:rsidR="000768CD" w:rsidRDefault="00EC4C2C">
      <w:pPr>
        <w:pStyle w:val="Gvdemetni0"/>
        <w:shd w:val="clear" w:color="auto" w:fill="auto"/>
        <w:spacing w:before="0"/>
        <w:ind w:left="100"/>
      </w:pPr>
      <w:r>
        <w:t>Trabzon İli, Yomra ilçesinde Hâzineye ait aşağıda tapu kayıtları yazılı bulunan taşınmazlar 2886 Sayılı Devlet ihale Kanunu'nun 45. maddesi uyarınca açık teklif usulü ile karşısında gösterilen tarih ve saatte ihale ile satılacaktır.</w:t>
      </w:r>
    </w:p>
    <w:p w:rsidR="00B333A0" w:rsidRDefault="00B333A0">
      <w:pPr>
        <w:pStyle w:val="Gvdemetni0"/>
        <w:shd w:val="clear" w:color="auto" w:fill="auto"/>
        <w:spacing w:before="0"/>
        <w:ind w:left="100"/>
      </w:pPr>
    </w:p>
    <w:p w:rsidR="000768CD" w:rsidRDefault="00B333A0">
      <w:pPr>
        <w:pStyle w:val="Gvdemetni0"/>
        <w:numPr>
          <w:ilvl w:val="0"/>
          <w:numId w:val="1"/>
        </w:numPr>
        <w:shd w:val="clear" w:color="auto" w:fill="auto"/>
        <w:tabs>
          <w:tab w:val="left" w:pos="551"/>
        </w:tabs>
        <w:spacing w:before="0"/>
        <w:ind w:left="100"/>
      </w:pPr>
      <w:r>
        <w:t xml:space="preserve">    İhale </w:t>
      </w:r>
      <w:r w:rsidR="00EC4C2C">
        <w:t>Yomra Malmüdürlüğümüzde yapılacak olup, ihale dosyası ve şartnameleri çalışma saatleri içerisinde Yomra Malmüdürlüğünde ücretsiz olarak görülebilecektir.</w:t>
      </w:r>
    </w:p>
    <w:p w:rsidR="000768CD" w:rsidRDefault="00B333A0" w:rsidP="00B333A0">
      <w:pPr>
        <w:pStyle w:val="Gvdemetni0"/>
        <w:numPr>
          <w:ilvl w:val="0"/>
          <w:numId w:val="1"/>
        </w:numPr>
        <w:shd w:val="clear" w:color="auto" w:fill="auto"/>
        <w:tabs>
          <w:tab w:val="left" w:pos="710"/>
        </w:tabs>
        <w:spacing w:before="0"/>
        <w:ind w:left="100"/>
      </w:pPr>
      <w:r>
        <w:t xml:space="preserve">İhaleye </w:t>
      </w:r>
      <w:r w:rsidR="00EC4C2C">
        <w:t>katılacak olan isteklilerin ihale saatine kadar;</w:t>
      </w:r>
    </w:p>
    <w:p w:rsidR="00B333A0" w:rsidRDefault="00B333A0" w:rsidP="00B333A0">
      <w:pPr>
        <w:pStyle w:val="Gvdemetni0"/>
        <w:shd w:val="clear" w:color="auto" w:fill="auto"/>
        <w:tabs>
          <w:tab w:val="left" w:pos="710"/>
        </w:tabs>
        <w:spacing w:before="0"/>
        <w:ind w:left="100"/>
      </w:pPr>
    </w:p>
    <w:p w:rsidR="000768CD" w:rsidRDefault="00EC4C2C">
      <w:pPr>
        <w:pStyle w:val="Gvdemetni0"/>
        <w:numPr>
          <w:ilvl w:val="0"/>
          <w:numId w:val="2"/>
        </w:numPr>
        <w:shd w:val="clear" w:color="auto" w:fill="auto"/>
        <w:tabs>
          <w:tab w:val="left" w:pos="383"/>
        </w:tabs>
        <w:spacing w:before="0"/>
        <w:ind w:left="100"/>
      </w:pPr>
      <w:r>
        <w:t>Aşağıda listede belirtilen geçici teminatın yatırıldığına dair geçici teminat makbuzu veya teminat mektubu (Banka Teyit yazısı) verilmesi durumunda 2886 sayılı Kanunun 26. ncı maddesine uygun olarak Bankalar ve Finans kurumlarınca verilecek süresiz teminat mektupları (Mevzuata aykırı olarak düzenlenmiş teminat mektupları kabul edilemez) yada Hazine Müsteşarlığınca ihraç edilen Devlet iç Borçlanma Senetleri veya bu senetler yerine düzenlenen belgeleri.</w:t>
      </w:r>
    </w:p>
    <w:p w:rsidR="00B333A0" w:rsidRDefault="00B333A0" w:rsidP="00B333A0">
      <w:pPr>
        <w:pStyle w:val="Gvdemetni0"/>
        <w:shd w:val="clear" w:color="auto" w:fill="auto"/>
        <w:tabs>
          <w:tab w:val="left" w:pos="383"/>
        </w:tabs>
        <w:spacing w:before="0"/>
        <w:ind w:left="100"/>
      </w:pPr>
    </w:p>
    <w:p w:rsidR="000768CD" w:rsidRDefault="00EC4C2C">
      <w:pPr>
        <w:pStyle w:val="Gvdemetni0"/>
        <w:numPr>
          <w:ilvl w:val="0"/>
          <w:numId w:val="2"/>
        </w:numPr>
        <w:shd w:val="clear" w:color="auto" w:fill="auto"/>
        <w:tabs>
          <w:tab w:val="left" w:pos="388"/>
        </w:tabs>
        <w:spacing w:before="0"/>
        <w:ind w:left="100"/>
      </w:pPr>
      <w:r>
        <w:t>Gerçek kişilerin son üç ay içinde elektronik ortamda üretilen 'Yerleşim Yeri ve Diğer Adres Belgesi'ni (ikametgah belgesi), kimlik numarasını gösterecek şekilde nüfus cüzdan örneği veya nüfus cüzdan fotokopisi,</w:t>
      </w:r>
    </w:p>
    <w:p w:rsidR="00B333A0" w:rsidRDefault="00B333A0" w:rsidP="00B333A0">
      <w:pPr>
        <w:pStyle w:val="Gvdemetni0"/>
        <w:shd w:val="clear" w:color="auto" w:fill="auto"/>
        <w:tabs>
          <w:tab w:val="left" w:pos="388"/>
        </w:tabs>
        <w:spacing w:before="0"/>
        <w:ind w:left="100"/>
      </w:pPr>
    </w:p>
    <w:p w:rsidR="000768CD" w:rsidRDefault="00EC4C2C">
      <w:pPr>
        <w:pStyle w:val="Gvdemetni0"/>
        <w:numPr>
          <w:ilvl w:val="0"/>
          <w:numId w:val="2"/>
        </w:numPr>
        <w:shd w:val="clear" w:color="auto" w:fill="auto"/>
        <w:tabs>
          <w:tab w:val="left" w:pos="258"/>
        </w:tabs>
        <w:spacing w:before="0"/>
        <w:ind w:left="100"/>
      </w:pPr>
      <w:r>
        <w:t>Gerçek kişi adına vekaleten ihaleye girecek kişilerin noter tasdikli vekaletname örneği,</w:t>
      </w:r>
    </w:p>
    <w:p w:rsidR="00B333A0" w:rsidRDefault="00B333A0" w:rsidP="00B333A0">
      <w:pPr>
        <w:pStyle w:val="Gvdemetni0"/>
        <w:shd w:val="clear" w:color="auto" w:fill="auto"/>
        <w:tabs>
          <w:tab w:val="left" w:pos="258"/>
        </w:tabs>
        <w:spacing w:before="0"/>
        <w:ind w:left="100"/>
      </w:pPr>
    </w:p>
    <w:p w:rsidR="000768CD" w:rsidRDefault="00EC4C2C">
      <w:pPr>
        <w:pStyle w:val="Gvdemetni0"/>
        <w:numPr>
          <w:ilvl w:val="0"/>
          <w:numId w:val="2"/>
        </w:numPr>
        <w:shd w:val="clear" w:color="auto" w:fill="auto"/>
        <w:tabs>
          <w:tab w:val="left" w:pos="388"/>
        </w:tabs>
        <w:spacing w:before="0"/>
        <w:ind w:left="100"/>
      </w:pPr>
      <w:r>
        <w:t>Özel hukuk tüzel kişilerinin yukarıda belirtilen şartlardan ayrı olarak, idare merkezinin bulunduğu yer mahkemesinden veya siciline kayıtlı bulunduğu Ticaret ve Sanayi Odasından veya benzeri meslek kuruluşlarından, ihalenin yapıldığı yıl içinde alınmış tüzel kişiliğin siciline kayıtlı olduğuna dair belge ile tüzel kişilik adına ihaleyle katılacak veya teklifte bulunacak kişilerin tüzel kişiliği temsile tam yetkili olduklarını gösterir noterlikçe tasdik edilmiş imza sirkülerini veya vekaletnameyi vermeleri şartlarıyla ihale saatine kadar ihale Komisyon Başkanlığına verilmesi ve komisyonda hazır bulunmaları zorunludur.</w:t>
      </w:r>
    </w:p>
    <w:p w:rsidR="00B333A0" w:rsidRDefault="00B333A0" w:rsidP="00B333A0">
      <w:pPr>
        <w:pStyle w:val="Gvdemetni0"/>
        <w:shd w:val="clear" w:color="auto" w:fill="auto"/>
        <w:tabs>
          <w:tab w:val="left" w:pos="388"/>
        </w:tabs>
        <w:spacing w:before="0"/>
        <w:ind w:left="100"/>
      </w:pPr>
    </w:p>
    <w:p w:rsidR="000768CD" w:rsidRDefault="00EC4C2C">
      <w:pPr>
        <w:pStyle w:val="Gvdemetni0"/>
        <w:numPr>
          <w:ilvl w:val="0"/>
          <w:numId w:val="3"/>
        </w:numPr>
        <w:shd w:val="clear" w:color="auto" w:fill="auto"/>
        <w:tabs>
          <w:tab w:val="left" w:pos="374"/>
        </w:tabs>
        <w:spacing w:before="0"/>
        <w:ind w:left="100"/>
      </w:pPr>
      <w:r>
        <w:t>Postayla yapılacak müracaatlarda teklifin 2886 sayılı Kanunun 37. nci maddesine uygun hazırlanması ve teklifin ihale saatinden önce komisyona ulaşması şarttır. Postada meydana gelebilecek gecikmelerden dolayı idare ve komisyon herhangi bir sorumluluk kabul etmez.</w:t>
      </w:r>
    </w:p>
    <w:p w:rsidR="00B333A0" w:rsidRDefault="00B333A0" w:rsidP="00B333A0">
      <w:pPr>
        <w:pStyle w:val="Gvdemetni0"/>
        <w:shd w:val="clear" w:color="auto" w:fill="auto"/>
        <w:tabs>
          <w:tab w:val="left" w:pos="374"/>
        </w:tabs>
        <w:spacing w:before="0"/>
        <w:ind w:left="100"/>
      </w:pPr>
    </w:p>
    <w:p w:rsidR="000768CD" w:rsidRDefault="00EC4C2C">
      <w:pPr>
        <w:pStyle w:val="Gvdemetni0"/>
        <w:numPr>
          <w:ilvl w:val="0"/>
          <w:numId w:val="3"/>
        </w:numPr>
        <w:shd w:val="clear" w:color="auto" w:fill="auto"/>
        <w:tabs>
          <w:tab w:val="left" w:pos="364"/>
        </w:tabs>
        <w:spacing w:before="0"/>
        <w:ind w:left="100"/>
      </w:pPr>
      <w:r>
        <w:t>Taşınmaz satışlarında satış bedeli peşin ödenebileceği gibi taksitlendirmede yapılabilir. Satış bedelinin taksitle ödenmesi halinde, bedelin en az dörtte biri peşin, kalanı en fazla iki yılda eşit taksitlerle ve üçer aylık dilimler halinde kanuni fa</w:t>
      </w:r>
      <w:r w:rsidR="00B333A0">
        <w:t>izi bile birlikte tahsil edilir.</w:t>
      </w:r>
    </w:p>
    <w:p w:rsidR="00B333A0" w:rsidRDefault="00B333A0" w:rsidP="00B333A0">
      <w:pPr>
        <w:pStyle w:val="Gvdemetni0"/>
        <w:shd w:val="clear" w:color="auto" w:fill="auto"/>
        <w:tabs>
          <w:tab w:val="left" w:pos="364"/>
        </w:tabs>
        <w:spacing w:before="0"/>
        <w:ind w:left="100"/>
      </w:pPr>
    </w:p>
    <w:p w:rsidR="000768CD" w:rsidRDefault="00EC4C2C">
      <w:pPr>
        <w:pStyle w:val="Gvdemetni0"/>
        <w:numPr>
          <w:ilvl w:val="0"/>
          <w:numId w:val="3"/>
        </w:numPr>
        <w:shd w:val="clear" w:color="auto" w:fill="auto"/>
        <w:tabs>
          <w:tab w:val="left" w:pos="364"/>
        </w:tabs>
        <w:spacing w:before="0"/>
        <w:ind w:left="100"/>
      </w:pPr>
      <w:r>
        <w:t>Taşınmazların satışlarında 4706 sayılı Kanunun 7’nci maddesi gereğince satış ve devir işlemleri ve bu işlemler sırasında düzenlenen belgeler vergi resim ve harçtan müstesnadır. Satışı yapılan taşınmazlar satış tarihini takip eden yıldan itibaren beş yıl süre ile emlak vergisine tabi tutulmaz.</w:t>
      </w:r>
    </w:p>
    <w:p w:rsidR="00B333A0" w:rsidRDefault="00B333A0" w:rsidP="00B333A0">
      <w:pPr>
        <w:pStyle w:val="Gvdemetni0"/>
        <w:shd w:val="clear" w:color="auto" w:fill="auto"/>
        <w:tabs>
          <w:tab w:val="left" w:pos="364"/>
        </w:tabs>
        <w:spacing w:before="0"/>
        <w:ind w:left="100"/>
      </w:pPr>
    </w:p>
    <w:p w:rsidR="000768CD" w:rsidRDefault="00EC4C2C">
      <w:pPr>
        <w:pStyle w:val="Gvdemetni0"/>
        <w:numPr>
          <w:ilvl w:val="0"/>
          <w:numId w:val="3"/>
        </w:numPr>
        <w:shd w:val="clear" w:color="auto" w:fill="auto"/>
        <w:tabs>
          <w:tab w:val="left" w:pos="258"/>
        </w:tabs>
        <w:spacing w:before="0" w:after="25"/>
        <w:ind w:left="100"/>
      </w:pPr>
      <w:r>
        <w:t>Komisyon ihaleyi yapıp yapmamakta serbesttir.</w:t>
      </w:r>
    </w:p>
    <w:tbl>
      <w:tblPr>
        <w:tblOverlap w:val="never"/>
        <w:tblW w:w="0" w:type="auto"/>
        <w:tblLayout w:type="fixed"/>
        <w:tblCellMar>
          <w:left w:w="10" w:type="dxa"/>
          <w:right w:w="10" w:type="dxa"/>
        </w:tblCellMar>
        <w:tblLook w:val="04A0"/>
      </w:tblPr>
      <w:tblGrid>
        <w:gridCol w:w="590"/>
        <w:gridCol w:w="1363"/>
        <w:gridCol w:w="1262"/>
        <w:gridCol w:w="1109"/>
        <w:gridCol w:w="893"/>
        <w:gridCol w:w="456"/>
        <w:gridCol w:w="653"/>
        <w:gridCol w:w="1018"/>
        <w:gridCol w:w="758"/>
        <w:gridCol w:w="1109"/>
        <w:gridCol w:w="1291"/>
        <w:gridCol w:w="1512"/>
        <w:gridCol w:w="1123"/>
      </w:tblGrid>
      <w:tr w:rsidR="000768CD">
        <w:trPr>
          <w:trHeight w:hRule="exact" w:val="451"/>
        </w:trPr>
        <w:tc>
          <w:tcPr>
            <w:tcW w:w="590"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220"/>
              <w:jc w:val="left"/>
            </w:pPr>
            <w:r>
              <w:rPr>
                <w:rStyle w:val="Gvdemetni65ptKaln"/>
              </w:rPr>
              <w:lastRenderedPageBreak/>
              <w:t>Sıra</w:t>
            </w:r>
          </w:p>
          <w:p w:rsidR="000768CD" w:rsidRDefault="00EC4C2C">
            <w:pPr>
              <w:pStyle w:val="Gvdemetni0"/>
              <w:framePr w:w="13138" w:h="1574" w:hSpace="4" w:wrap="notBeside" w:vAnchor="text" w:hAnchor="text" w:x="5" w:y="1"/>
              <w:shd w:val="clear" w:color="auto" w:fill="auto"/>
              <w:spacing w:before="0" w:line="130" w:lineRule="exact"/>
              <w:ind w:left="220"/>
              <w:jc w:val="left"/>
            </w:pPr>
            <w:r>
              <w:rPr>
                <w:rStyle w:val="Gvdemetni65ptKaln"/>
              </w:rPr>
              <w:t>No</w:t>
            </w:r>
          </w:p>
        </w:tc>
        <w:tc>
          <w:tcPr>
            <w:tcW w:w="136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360"/>
              <w:jc w:val="left"/>
            </w:pPr>
            <w:r>
              <w:rPr>
                <w:rStyle w:val="Gvdemetni65ptKaln"/>
              </w:rPr>
              <w:t>Taşınmaz</w:t>
            </w:r>
          </w:p>
          <w:p w:rsidR="000768CD" w:rsidRDefault="00EC4C2C">
            <w:pPr>
              <w:pStyle w:val="Gvdemetni0"/>
              <w:framePr w:w="13138" w:h="1574" w:hSpace="4" w:wrap="notBeside" w:vAnchor="text" w:hAnchor="text" w:x="5" w:y="1"/>
              <w:shd w:val="clear" w:color="auto" w:fill="auto"/>
              <w:spacing w:before="0" w:line="130" w:lineRule="exact"/>
              <w:ind w:left="360"/>
              <w:jc w:val="left"/>
            </w:pPr>
            <w:r>
              <w:rPr>
                <w:rStyle w:val="Gvdemetni65ptKaln"/>
              </w:rPr>
              <w:t>No</w:t>
            </w:r>
          </w:p>
        </w:tc>
        <w:tc>
          <w:tcPr>
            <w:tcW w:w="1262" w:type="dxa"/>
            <w:tcBorders>
              <w:top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Mahalle</w:t>
            </w:r>
          </w:p>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/Köyü</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220"/>
              <w:jc w:val="left"/>
            </w:pPr>
            <w:r>
              <w:rPr>
                <w:rStyle w:val="Gvdemetni65ptKaln"/>
              </w:rPr>
              <w:t>Cinsi</w:t>
            </w:r>
          </w:p>
        </w:tc>
        <w:tc>
          <w:tcPr>
            <w:tcW w:w="89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120"/>
              <w:jc w:val="left"/>
            </w:pPr>
            <w:r>
              <w:rPr>
                <w:rStyle w:val="Gvdemetni65ptKaln"/>
              </w:rPr>
              <w:t>Pafta</w:t>
            </w:r>
          </w:p>
        </w:tc>
        <w:tc>
          <w:tcPr>
            <w:tcW w:w="456"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60"/>
              <w:jc w:val="left"/>
            </w:pPr>
            <w:r>
              <w:rPr>
                <w:rStyle w:val="Gvdemetni65ptKaln"/>
              </w:rPr>
              <w:t>Ada</w:t>
            </w:r>
          </w:p>
        </w:tc>
        <w:tc>
          <w:tcPr>
            <w:tcW w:w="65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180"/>
              <w:jc w:val="left"/>
            </w:pPr>
            <w:r>
              <w:rPr>
                <w:rStyle w:val="Gvdemetni65ptKaln"/>
              </w:rPr>
              <w:t>Parsel</w:t>
            </w:r>
          </w:p>
        </w:tc>
        <w:tc>
          <w:tcPr>
            <w:tcW w:w="101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Yüzölçümü</w:t>
            </w:r>
          </w:p>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M2</w:t>
            </w:r>
          </w:p>
        </w:tc>
        <w:tc>
          <w:tcPr>
            <w:tcW w:w="75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ind w:left="200"/>
              <w:jc w:val="left"/>
            </w:pPr>
            <w:r>
              <w:rPr>
                <w:rStyle w:val="Gvdemetni65ptKaln"/>
              </w:rPr>
              <w:t>Hazine</w:t>
            </w:r>
          </w:p>
          <w:p w:rsidR="000768CD" w:rsidRDefault="00EC4C2C">
            <w:pPr>
              <w:pStyle w:val="Gvdemetni0"/>
              <w:framePr w:w="13138" w:h="1574" w:hSpace="4" w:wrap="notBeside" w:vAnchor="text" w:hAnchor="text" w:x="5" w:y="1"/>
              <w:shd w:val="clear" w:color="auto" w:fill="auto"/>
              <w:spacing w:before="0" w:line="130" w:lineRule="exact"/>
              <w:ind w:left="200"/>
              <w:jc w:val="left"/>
            </w:pPr>
            <w:r>
              <w:rPr>
                <w:rStyle w:val="Gvdemetni65ptKaln"/>
              </w:rPr>
              <w:t>Hissesi</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ind w:left="240"/>
              <w:jc w:val="left"/>
            </w:pPr>
            <w:r>
              <w:rPr>
                <w:rStyle w:val="Gvdemetni65ptKaln"/>
              </w:rPr>
              <w:t>Tahmini Bedel (YTL)</w:t>
            </w:r>
          </w:p>
        </w:tc>
        <w:tc>
          <w:tcPr>
            <w:tcW w:w="1291"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82" w:lineRule="exact"/>
              <w:ind w:left="240"/>
              <w:jc w:val="left"/>
            </w:pPr>
            <w:r>
              <w:rPr>
                <w:rStyle w:val="Gvdemetni65ptKaln"/>
              </w:rPr>
              <w:t>Geçici ve Ek Teminat (YTL)</w:t>
            </w:r>
          </w:p>
        </w:tc>
        <w:tc>
          <w:tcPr>
            <w:tcW w:w="151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İhale</w:t>
            </w:r>
          </w:p>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Tarihi</w:t>
            </w:r>
          </w:p>
        </w:tc>
        <w:tc>
          <w:tcPr>
            <w:tcW w:w="1123" w:type="dxa"/>
            <w:tcBorders>
              <w:righ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İhale</w:t>
            </w:r>
          </w:p>
          <w:p w:rsidR="000768CD" w:rsidRDefault="00EC4C2C">
            <w:pPr>
              <w:pStyle w:val="Gvdemetni0"/>
              <w:framePr w:w="13138" w:h="1574" w:hSpace="4" w:wrap="notBeside" w:vAnchor="text" w:hAnchor="text" w:x="5" w:y="1"/>
              <w:shd w:val="clear" w:color="auto" w:fill="auto"/>
              <w:spacing w:before="0" w:line="130" w:lineRule="exact"/>
              <w:jc w:val="center"/>
            </w:pPr>
            <w:r>
              <w:rPr>
                <w:rStyle w:val="Gvdemetni65ptKaln"/>
              </w:rPr>
              <w:t>Saati</w:t>
            </w:r>
          </w:p>
        </w:tc>
      </w:tr>
      <w:tr w:rsidR="000768CD">
        <w:trPr>
          <w:trHeight w:hRule="exact" w:val="226"/>
        </w:trPr>
        <w:tc>
          <w:tcPr>
            <w:tcW w:w="590"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1</w:t>
            </w:r>
          </w:p>
        </w:tc>
        <w:tc>
          <w:tcPr>
            <w:tcW w:w="136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61180100750</w:t>
            </w:r>
          </w:p>
        </w:tc>
        <w:tc>
          <w:tcPr>
            <w:tcW w:w="126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Yenice Köyü</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80"/>
              <w:jc w:val="left"/>
            </w:pPr>
            <w:r>
              <w:rPr>
                <w:rStyle w:val="Gvdemetni1"/>
              </w:rPr>
              <w:t>Fındık Bahçesi</w:t>
            </w:r>
          </w:p>
        </w:tc>
        <w:tc>
          <w:tcPr>
            <w:tcW w:w="89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20"/>
              <w:jc w:val="left"/>
            </w:pPr>
            <w:r>
              <w:rPr>
                <w:rStyle w:val="Gvdemetni1"/>
              </w:rPr>
              <w:t>08c2c</w:t>
            </w:r>
          </w:p>
        </w:tc>
        <w:tc>
          <w:tcPr>
            <w:tcW w:w="456"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60"/>
              <w:jc w:val="left"/>
            </w:pPr>
            <w:r>
              <w:rPr>
                <w:rStyle w:val="Gvdemetni1"/>
              </w:rPr>
              <w:t>103</w:t>
            </w:r>
          </w:p>
        </w:tc>
        <w:tc>
          <w:tcPr>
            <w:tcW w:w="65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80"/>
              <w:jc w:val="left"/>
            </w:pPr>
            <w:r>
              <w:rPr>
                <w:rStyle w:val="Gvdemetni1"/>
              </w:rPr>
              <w:t>57</w:t>
            </w:r>
          </w:p>
        </w:tc>
        <w:tc>
          <w:tcPr>
            <w:tcW w:w="101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1.425,48</w:t>
            </w:r>
          </w:p>
        </w:tc>
        <w:tc>
          <w:tcPr>
            <w:tcW w:w="75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00"/>
              <w:jc w:val="left"/>
            </w:pPr>
            <w:r>
              <w:rPr>
                <w:rStyle w:val="Gvdemetni1"/>
              </w:rPr>
              <w:t>1/1</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6.100,00</w:t>
            </w:r>
          </w:p>
        </w:tc>
        <w:tc>
          <w:tcPr>
            <w:tcW w:w="1291"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1.830,00</w:t>
            </w:r>
          </w:p>
        </w:tc>
        <w:tc>
          <w:tcPr>
            <w:tcW w:w="151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05/06/2012</w:t>
            </w:r>
          </w:p>
        </w:tc>
        <w:tc>
          <w:tcPr>
            <w:tcW w:w="1123" w:type="dxa"/>
            <w:tcBorders>
              <w:top w:val="single" w:sz="4" w:space="0" w:color="auto"/>
              <w:left w:val="single" w:sz="4" w:space="0" w:color="auto"/>
              <w:righ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10:00</w:t>
            </w:r>
          </w:p>
        </w:tc>
      </w:tr>
      <w:tr w:rsidR="000768CD">
        <w:trPr>
          <w:trHeight w:hRule="exact" w:val="226"/>
        </w:trPr>
        <w:tc>
          <w:tcPr>
            <w:tcW w:w="590"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2</w:t>
            </w:r>
          </w:p>
        </w:tc>
        <w:tc>
          <w:tcPr>
            <w:tcW w:w="136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61180100749</w:t>
            </w:r>
          </w:p>
        </w:tc>
        <w:tc>
          <w:tcPr>
            <w:tcW w:w="126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Yenice Köyü</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80"/>
              <w:jc w:val="left"/>
            </w:pPr>
            <w:r>
              <w:rPr>
                <w:rStyle w:val="Gvdemetni1"/>
              </w:rPr>
              <w:t>Fındık Bahçesi</w:t>
            </w:r>
          </w:p>
        </w:tc>
        <w:tc>
          <w:tcPr>
            <w:tcW w:w="89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20"/>
              <w:jc w:val="left"/>
            </w:pPr>
            <w:r>
              <w:rPr>
                <w:rStyle w:val="Gvdemetni1"/>
              </w:rPr>
              <w:t>08c2c</w:t>
            </w:r>
          </w:p>
        </w:tc>
        <w:tc>
          <w:tcPr>
            <w:tcW w:w="456"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60"/>
              <w:jc w:val="left"/>
            </w:pPr>
            <w:r>
              <w:rPr>
                <w:rStyle w:val="Gvdemetni1"/>
              </w:rPr>
              <w:t>103</w:t>
            </w:r>
          </w:p>
        </w:tc>
        <w:tc>
          <w:tcPr>
            <w:tcW w:w="65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80"/>
              <w:jc w:val="left"/>
            </w:pPr>
            <w:r>
              <w:rPr>
                <w:rStyle w:val="Gvdemetni1"/>
              </w:rPr>
              <w:t>59</w:t>
            </w:r>
          </w:p>
        </w:tc>
        <w:tc>
          <w:tcPr>
            <w:tcW w:w="101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572,54</w:t>
            </w:r>
          </w:p>
        </w:tc>
        <w:tc>
          <w:tcPr>
            <w:tcW w:w="75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00"/>
              <w:jc w:val="left"/>
            </w:pPr>
            <w:r>
              <w:rPr>
                <w:rStyle w:val="Gvdemetni1"/>
              </w:rPr>
              <w:t>1/1</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2.500,00</w:t>
            </w:r>
          </w:p>
        </w:tc>
        <w:tc>
          <w:tcPr>
            <w:tcW w:w="1291"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750,00</w:t>
            </w:r>
          </w:p>
        </w:tc>
        <w:tc>
          <w:tcPr>
            <w:tcW w:w="151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05/06/2012</w:t>
            </w:r>
          </w:p>
        </w:tc>
        <w:tc>
          <w:tcPr>
            <w:tcW w:w="1123" w:type="dxa"/>
            <w:tcBorders>
              <w:left w:val="single" w:sz="4" w:space="0" w:color="auto"/>
              <w:righ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10:15</w:t>
            </w:r>
          </w:p>
        </w:tc>
      </w:tr>
      <w:tr w:rsidR="000768CD">
        <w:trPr>
          <w:trHeight w:hRule="exact" w:val="206"/>
        </w:trPr>
        <w:tc>
          <w:tcPr>
            <w:tcW w:w="590"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3</w:t>
            </w:r>
          </w:p>
        </w:tc>
        <w:tc>
          <w:tcPr>
            <w:tcW w:w="136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61180100376</w:t>
            </w:r>
          </w:p>
        </w:tc>
        <w:tc>
          <w:tcPr>
            <w:tcW w:w="126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Kömürcü Köyü</w:t>
            </w:r>
          </w:p>
        </w:tc>
        <w:tc>
          <w:tcPr>
            <w:tcW w:w="1109" w:type="dxa"/>
            <w:tcBorders>
              <w:top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80"/>
              <w:jc w:val="left"/>
            </w:pPr>
            <w:r>
              <w:rPr>
                <w:rStyle w:val="Gvdemetni1"/>
              </w:rPr>
              <w:t>Fındık Bahçesi</w:t>
            </w:r>
          </w:p>
        </w:tc>
        <w:tc>
          <w:tcPr>
            <w:tcW w:w="89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20"/>
              <w:jc w:val="left"/>
            </w:pPr>
            <w:r>
              <w:rPr>
                <w:rStyle w:val="Gvdemetni1"/>
              </w:rPr>
              <w:t>G43b12b2a</w:t>
            </w:r>
          </w:p>
        </w:tc>
        <w:tc>
          <w:tcPr>
            <w:tcW w:w="456"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60"/>
              <w:jc w:val="left"/>
            </w:pPr>
            <w:r>
              <w:rPr>
                <w:rStyle w:val="Gvdemetni1"/>
              </w:rPr>
              <w:t>127</w:t>
            </w:r>
          </w:p>
        </w:tc>
        <w:tc>
          <w:tcPr>
            <w:tcW w:w="65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80"/>
              <w:jc w:val="left"/>
            </w:pPr>
            <w:r>
              <w:rPr>
                <w:rStyle w:val="Gvdemetni1"/>
              </w:rPr>
              <w:t>90</w:t>
            </w:r>
          </w:p>
        </w:tc>
        <w:tc>
          <w:tcPr>
            <w:tcW w:w="101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2.612,42</w:t>
            </w:r>
          </w:p>
        </w:tc>
        <w:tc>
          <w:tcPr>
            <w:tcW w:w="75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00"/>
              <w:jc w:val="left"/>
            </w:pPr>
            <w:r>
              <w:rPr>
                <w:rStyle w:val="Gvdemetni1"/>
              </w:rPr>
              <w:t>1/1</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7.300,00</w:t>
            </w:r>
          </w:p>
        </w:tc>
        <w:tc>
          <w:tcPr>
            <w:tcW w:w="1291"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2.190,00</w:t>
            </w:r>
          </w:p>
        </w:tc>
        <w:tc>
          <w:tcPr>
            <w:tcW w:w="151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05/06/2012</w:t>
            </w:r>
          </w:p>
        </w:tc>
        <w:tc>
          <w:tcPr>
            <w:tcW w:w="1123" w:type="dxa"/>
            <w:tcBorders>
              <w:top w:val="single" w:sz="4" w:space="0" w:color="auto"/>
              <w:left w:val="single" w:sz="4" w:space="0" w:color="auto"/>
              <w:righ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10:30</w:t>
            </w:r>
          </w:p>
        </w:tc>
      </w:tr>
      <w:tr w:rsidR="000768CD">
        <w:trPr>
          <w:trHeight w:hRule="exact" w:val="206"/>
        </w:trPr>
        <w:tc>
          <w:tcPr>
            <w:tcW w:w="590"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4 ,</w:t>
            </w:r>
          </w:p>
        </w:tc>
        <w:tc>
          <w:tcPr>
            <w:tcW w:w="136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61180100368</w:t>
            </w:r>
          </w:p>
        </w:tc>
        <w:tc>
          <w:tcPr>
            <w:tcW w:w="126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Yokuşlu Köyü</w:t>
            </w:r>
          </w:p>
        </w:tc>
        <w:tc>
          <w:tcPr>
            <w:tcW w:w="1109" w:type="dxa"/>
            <w:tcBorders>
              <w:top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80"/>
              <w:jc w:val="left"/>
            </w:pPr>
            <w:r>
              <w:rPr>
                <w:rStyle w:val="Gvdemetni1"/>
              </w:rPr>
              <w:t>Fındık Bahçesi</w:t>
            </w:r>
          </w:p>
        </w:tc>
        <w:tc>
          <w:tcPr>
            <w:tcW w:w="89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20"/>
              <w:jc w:val="left"/>
            </w:pPr>
            <w:r>
              <w:rPr>
                <w:rStyle w:val="Gvdemetni1"/>
              </w:rPr>
              <w:t>G43b08c2a</w:t>
            </w:r>
          </w:p>
        </w:tc>
        <w:tc>
          <w:tcPr>
            <w:tcW w:w="456"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60"/>
              <w:jc w:val="left"/>
            </w:pPr>
            <w:r>
              <w:rPr>
                <w:rStyle w:val="Gvdemetni1"/>
              </w:rPr>
              <w:t>125</w:t>
            </w:r>
          </w:p>
        </w:tc>
        <w:tc>
          <w:tcPr>
            <w:tcW w:w="653"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80"/>
              <w:jc w:val="left"/>
            </w:pPr>
            <w:r>
              <w:rPr>
                <w:rStyle w:val="Gvdemetni1"/>
              </w:rPr>
              <w:t>16</w:t>
            </w:r>
          </w:p>
        </w:tc>
        <w:tc>
          <w:tcPr>
            <w:tcW w:w="101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9.862,54</w:t>
            </w:r>
          </w:p>
        </w:tc>
        <w:tc>
          <w:tcPr>
            <w:tcW w:w="758"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00"/>
              <w:jc w:val="left"/>
            </w:pPr>
            <w:r>
              <w:rPr>
                <w:rStyle w:val="Gvdemetni1"/>
              </w:rPr>
              <w:t>1/1</w:t>
            </w:r>
          </w:p>
        </w:tc>
        <w:tc>
          <w:tcPr>
            <w:tcW w:w="1109"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29.600,00</w:t>
            </w:r>
          </w:p>
        </w:tc>
        <w:tc>
          <w:tcPr>
            <w:tcW w:w="1291"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8.880,00</w:t>
            </w:r>
          </w:p>
        </w:tc>
        <w:tc>
          <w:tcPr>
            <w:tcW w:w="1512" w:type="dxa"/>
            <w:tcBorders>
              <w:top w:val="single" w:sz="4" w:space="0" w:color="auto"/>
              <w:lef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05/06/2012</w:t>
            </w:r>
          </w:p>
        </w:tc>
        <w:tc>
          <w:tcPr>
            <w:tcW w:w="1123" w:type="dxa"/>
            <w:tcBorders>
              <w:left w:val="single" w:sz="4" w:space="0" w:color="auto"/>
              <w:righ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10:45</w:t>
            </w:r>
          </w:p>
        </w:tc>
      </w:tr>
      <w:tr w:rsidR="000768CD">
        <w:trPr>
          <w:trHeight w:hRule="exact" w:val="259"/>
        </w:trPr>
        <w:tc>
          <w:tcPr>
            <w:tcW w:w="590"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5</w:t>
            </w:r>
          </w:p>
        </w:tc>
        <w:tc>
          <w:tcPr>
            <w:tcW w:w="1363"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20"/>
              <w:jc w:val="left"/>
            </w:pPr>
            <w:r>
              <w:rPr>
                <w:rStyle w:val="Gvdemetni1"/>
              </w:rPr>
              <w:t>61180100900</w:t>
            </w:r>
          </w:p>
        </w:tc>
        <w:tc>
          <w:tcPr>
            <w:tcW w:w="1262"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Sancak Mah.</w:t>
            </w:r>
          </w:p>
        </w:tc>
        <w:tc>
          <w:tcPr>
            <w:tcW w:w="1109" w:type="dxa"/>
            <w:tcBorders>
              <w:top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80"/>
              <w:jc w:val="left"/>
            </w:pPr>
            <w:r>
              <w:rPr>
                <w:rStyle w:val="Gvdemetni1"/>
              </w:rPr>
              <w:t>Arsa</w:t>
            </w:r>
          </w:p>
        </w:tc>
        <w:tc>
          <w:tcPr>
            <w:tcW w:w="893"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120"/>
              <w:jc w:val="left"/>
            </w:pPr>
            <w:r>
              <w:rPr>
                <w:rStyle w:val="Gvdemetni1"/>
              </w:rPr>
              <w:t>G43b03d4b3</w:t>
            </w:r>
          </w:p>
        </w:tc>
        <w:tc>
          <w:tcPr>
            <w:tcW w:w="456"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60"/>
              <w:jc w:val="left"/>
            </w:pPr>
            <w:r>
              <w:rPr>
                <w:rStyle w:val="Gvdemetni1"/>
              </w:rPr>
              <w:t>18</w:t>
            </w:r>
          </w:p>
        </w:tc>
        <w:tc>
          <w:tcPr>
            <w:tcW w:w="653"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6</w:t>
            </w:r>
          </w:p>
        </w:tc>
        <w:tc>
          <w:tcPr>
            <w:tcW w:w="1018"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495,53</w:t>
            </w:r>
          </w:p>
        </w:tc>
        <w:tc>
          <w:tcPr>
            <w:tcW w:w="758"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00"/>
              <w:jc w:val="left"/>
            </w:pPr>
            <w:r>
              <w:rPr>
                <w:rStyle w:val="Gvdemetni1"/>
              </w:rPr>
              <w:t>1/1</w:t>
            </w:r>
          </w:p>
        </w:tc>
        <w:tc>
          <w:tcPr>
            <w:tcW w:w="1109"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715.000,00</w:t>
            </w:r>
          </w:p>
        </w:tc>
        <w:tc>
          <w:tcPr>
            <w:tcW w:w="1291"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ind w:left="240"/>
              <w:jc w:val="left"/>
            </w:pPr>
            <w:r>
              <w:rPr>
                <w:rStyle w:val="Gvdemetni1"/>
              </w:rPr>
              <w:t>214.500,00</w:t>
            </w:r>
          </w:p>
        </w:tc>
        <w:tc>
          <w:tcPr>
            <w:tcW w:w="1512" w:type="dxa"/>
            <w:tcBorders>
              <w:top w:val="single" w:sz="4" w:space="0" w:color="auto"/>
              <w:left w:val="single" w:sz="4" w:space="0" w:color="auto"/>
              <w:bottom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05/06/2012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0768CD" w:rsidRDefault="00EC4C2C">
            <w:pPr>
              <w:pStyle w:val="Gvdemetni0"/>
              <w:framePr w:w="13138" w:h="1574" w:hSpace="4" w:wrap="notBeside" w:vAnchor="text" w:hAnchor="text" w:x="5" w:y="1"/>
              <w:shd w:val="clear" w:color="auto" w:fill="auto"/>
              <w:spacing w:before="0" w:line="140" w:lineRule="exact"/>
              <w:jc w:val="center"/>
            </w:pPr>
            <w:r>
              <w:rPr>
                <w:rStyle w:val="Gvdemetni1"/>
              </w:rPr>
              <w:t>11:00</w:t>
            </w:r>
          </w:p>
        </w:tc>
      </w:tr>
    </w:tbl>
    <w:p w:rsidR="000768CD" w:rsidRDefault="00EC4C2C">
      <w:pPr>
        <w:pStyle w:val="Tabloyazs0"/>
        <w:framePr w:w="7930" w:h="503" w:wrap="notBeside" w:vAnchor="text" w:hAnchor="text" w:x="139" w:y="1623"/>
        <w:shd w:val="clear" w:color="auto" w:fill="auto"/>
        <w:spacing w:after="97" w:line="140" w:lineRule="exact"/>
      </w:pPr>
      <w:r>
        <w:t xml:space="preserve">NOT: Türkiye genelindeki ihale bilgileri </w:t>
      </w:r>
      <w:hyperlink r:id="rId7" w:history="1">
        <w:r>
          <w:rPr>
            <w:rStyle w:val="Kpr"/>
            <w:lang w:val="en-US"/>
          </w:rPr>
          <w:t>http://www.milliemlak.gov.tr</w:t>
        </w:r>
      </w:hyperlink>
      <w:r>
        <w:rPr>
          <w:lang w:val="en-US"/>
        </w:rPr>
        <w:t xml:space="preserve"> </w:t>
      </w:r>
      <w:r>
        <w:t>adresinden öğrenilebilir. İlan olunur. 08/05/2012</w:t>
      </w:r>
    </w:p>
    <w:p w:rsidR="000768CD" w:rsidRDefault="00B333A0">
      <w:pPr>
        <w:pStyle w:val="Tabloyazs30"/>
        <w:framePr w:w="2141" w:h="173" w:hSpace="4" w:wrap="notBeside" w:vAnchor="text" w:hAnchor="text" w:x="10987" w:y="1628"/>
        <w:shd w:val="clear" w:color="auto" w:fill="auto"/>
        <w:spacing w:line="130" w:lineRule="exact"/>
      </w:pPr>
      <w:r>
        <w:t xml:space="preserve"> </w:t>
      </w:r>
      <w:r w:rsidR="00EC4C2C">
        <w:t xml:space="preserve">(Basın: 30069- </w:t>
      </w:r>
      <w:hyperlink r:id="rId8" w:history="1">
        <w:r w:rsidR="00EC4C2C">
          <w:rPr>
            <w:rStyle w:val="Kpr"/>
            <w:lang w:val="en-US"/>
          </w:rPr>
          <w:t>www.bik.gov.tr</w:t>
        </w:r>
      </w:hyperlink>
      <w:r w:rsidR="00EC4C2C">
        <w:rPr>
          <w:lang w:val="en-US"/>
        </w:rPr>
        <w:t>)</w:t>
      </w:r>
    </w:p>
    <w:p w:rsidR="000768CD" w:rsidRDefault="000768CD">
      <w:pPr>
        <w:rPr>
          <w:sz w:val="2"/>
          <w:szCs w:val="2"/>
        </w:rPr>
      </w:pPr>
    </w:p>
    <w:p w:rsidR="000768CD" w:rsidRDefault="000768CD">
      <w:pPr>
        <w:rPr>
          <w:sz w:val="2"/>
          <w:szCs w:val="2"/>
        </w:rPr>
      </w:pPr>
    </w:p>
    <w:sectPr w:rsidR="000768CD" w:rsidSect="000768CD">
      <w:type w:val="continuous"/>
      <w:pgSz w:w="16838" w:h="16834" w:orient="landscape"/>
      <w:pgMar w:top="5271" w:right="1552" w:bottom="5165" w:left="2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05" w:rsidRDefault="00577F05" w:rsidP="000768CD">
      <w:r>
        <w:separator/>
      </w:r>
    </w:p>
  </w:endnote>
  <w:endnote w:type="continuationSeparator" w:id="1">
    <w:p w:rsidR="00577F05" w:rsidRDefault="00577F05" w:rsidP="000768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05" w:rsidRDefault="00577F05"/>
  </w:footnote>
  <w:footnote w:type="continuationSeparator" w:id="1">
    <w:p w:rsidR="00577F05" w:rsidRDefault="00577F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5568"/>
    <w:multiLevelType w:val="multilevel"/>
    <w:tmpl w:val="8B245D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6105F5"/>
    <w:multiLevelType w:val="multilevel"/>
    <w:tmpl w:val="543AB1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D25572"/>
    <w:multiLevelType w:val="multilevel"/>
    <w:tmpl w:val="5A60907E"/>
    <w:lvl w:ilvl="0">
      <w:start w:val="4"/>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768CD"/>
    <w:rsid w:val="000768CD"/>
    <w:rsid w:val="002C7568"/>
    <w:rsid w:val="003C28B4"/>
    <w:rsid w:val="00577F05"/>
    <w:rsid w:val="00B333A0"/>
    <w:rsid w:val="00EC4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8C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768CD"/>
    <w:rPr>
      <w:color w:val="000080"/>
      <w:u w:val="single"/>
    </w:rPr>
  </w:style>
  <w:style w:type="character" w:customStyle="1" w:styleId="Gvdemetni2Exact">
    <w:name w:val="Gövde metni (2) Exact"/>
    <w:basedOn w:val="VarsaylanParagrafYazTipi"/>
    <w:link w:val="Gvdemetni2"/>
    <w:rsid w:val="000768CD"/>
    <w:rPr>
      <w:rFonts w:ascii="Corbel" w:eastAsia="Corbel" w:hAnsi="Corbel" w:cs="Corbel"/>
      <w:b w:val="0"/>
      <w:bCs w:val="0"/>
      <w:i w:val="0"/>
      <w:iCs w:val="0"/>
      <w:smallCaps w:val="0"/>
      <w:strike w:val="0"/>
      <w:sz w:val="27"/>
      <w:szCs w:val="27"/>
      <w:u w:val="none"/>
    </w:rPr>
  </w:style>
  <w:style w:type="character" w:customStyle="1" w:styleId="Balk1">
    <w:name w:val="Başlık #1_"/>
    <w:basedOn w:val="VarsaylanParagrafYazTipi"/>
    <w:link w:val="Balk10"/>
    <w:rsid w:val="000768CD"/>
    <w:rPr>
      <w:rFonts w:ascii="Corbel" w:eastAsia="Corbel" w:hAnsi="Corbel" w:cs="Corbel"/>
      <w:b w:val="0"/>
      <w:bCs w:val="0"/>
      <w:i w:val="0"/>
      <w:iCs w:val="0"/>
      <w:smallCaps w:val="0"/>
      <w:strike w:val="0"/>
      <w:spacing w:val="-20"/>
      <w:sz w:val="25"/>
      <w:szCs w:val="25"/>
      <w:u w:val="none"/>
    </w:rPr>
  </w:style>
  <w:style w:type="character" w:customStyle="1" w:styleId="Gvdemetni">
    <w:name w:val="Gövde metni_"/>
    <w:basedOn w:val="VarsaylanParagrafYazTipi"/>
    <w:link w:val="Gvdemetni0"/>
    <w:rsid w:val="000768CD"/>
    <w:rPr>
      <w:rFonts w:ascii="Arial" w:eastAsia="Arial" w:hAnsi="Arial" w:cs="Arial"/>
      <w:b w:val="0"/>
      <w:bCs w:val="0"/>
      <w:i w:val="0"/>
      <w:iCs w:val="0"/>
      <w:smallCaps w:val="0"/>
      <w:strike w:val="0"/>
      <w:sz w:val="14"/>
      <w:szCs w:val="14"/>
      <w:u w:val="none"/>
    </w:rPr>
  </w:style>
  <w:style w:type="character" w:customStyle="1" w:styleId="Gvdemetni65ptKaln">
    <w:name w:val="Gövde metni + 6;5 pt;Kalın"/>
    <w:basedOn w:val="Gvdemetni"/>
    <w:rsid w:val="000768CD"/>
    <w:rPr>
      <w:b/>
      <w:bCs/>
      <w:color w:val="000000"/>
      <w:spacing w:val="0"/>
      <w:w w:val="100"/>
      <w:position w:val="0"/>
      <w:sz w:val="13"/>
      <w:szCs w:val="13"/>
      <w:lang w:val="tr-TR"/>
    </w:rPr>
  </w:style>
  <w:style w:type="character" w:customStyle="1" w:styleId="Gvdemetni1">
    <w:name w:val="Gövde metni"/>
    <w:basedOn w:val="Gvdemetni"/>
    <w:rsid w:val="000768CD"/>
    <w:rPr>
      <w:color w:val="000000"/>
      <w:spacing w:val="0"/>
      <w:w w:val="100"/>
      <w:position w:val="0"/>
      <w:lang w:val="tr-TR"/>
    </w:rPr>
  </w:style>
  <w:style w:type="character" w:customStyle="1" w:styleId="Tabloyazs">
    <w:name w:val="Tablo yazısı_"/>
    <w:basedOn w:val="VarsaylanParagrafYazTipi"/>
    <w:link w:val="Tabloyazs0"/>
    <w:rsid w:val="000768CD"/>
    <w:rPr>
      <w:rFonts w:ascii="Arial" w:eastAsia="Arial" w:hAnsi="Arial" w:cs="Arial"/>
      <w:b w:val="0"/>
      <w:bCs w:val="0"/>
      <w:i w:val="0"/>
      <w:iCs w:val="0"/>
      <w:smallCaps w:val="0"/>
      <w:strike w:val="0"/>
      <w:sz w:val="14"/>
      <w:szCs w:val="14"/>
      <w:u w:val="none"/>
    </w:rPr>
  </w:style>
  <w:style w:type="character" w:customStyle="1" w:styleId="Tabloyazs2">
    <w:name w:val="Tablo yazısı (2)_"/>
    <w:basedOn w:val="VarsaylanParagrafYazTipi"/>
    <w:link w:val="Tabloyazs20"/>
    <w:rsid w:val="000768CD"/>
    <w:rPr>
      <w:rFonts w:ascii="Arial" w:eastAsia="Arial" w:hAnsi="Arial" w:cs="Arial"/>
      <w:b/>
      <w:bCs/>
      <w:i w:val="0"/>
      <w:iCs w:val="0"/>
      <w:smallCaps w:val="0"/>
      <w:strike w:val="0"/>
      <w:spacing w:val="-20"/>
      <w:sz w:val="21"/>
      <w:szCs w:val="21"/>
      <w:u w:val="none"/>
    </w:rPr>
  </w:style>
  <w:style w:type="character" w:customStyle="1" w:styleId="Tabloyazs3">
    <w:name w:val="Tablo yazısı (3)_"/>
    <w:basedOn w:val="VarsaylanParagrafYazTipi"/>
    <w:link w:val="Tabloyazs30"/>
    <w:rsid w:val="000768CD"/>
    <w:rPr>
      <w:rFonts w:ascii="Arial" w:eastAsia="Arial" w:hAnsi="Arial" w:cs="Arial"/>
      <w:b/>
      <w:bCs/>
      <w:i w:val="0"/>
      <w:iCs w:val="0"/>
      <w:smallCaps w:val="0"/>
      <w:strike w:val="0"/>
      <w:sz w:val="13"/>
      <w:szCs w:val="13"/>
      <w:u w:val="none"/>
    </w:rPr>
  </w:style>
  <w:style w:type="paragraph" w:customStyle="1" w:styleId="Gvdemetni2">
    <w:name w:val="Gövde metni (2)"/>
    <w:basedOn w:val="Normal"/>
    <w:link w:val="Gvdemetni2Exact"/>
    <w:rsid w:val="000768CD"/>
    <w:pPr>
      <w:shd w:val="clear" w:color="auto" w:fill="FFFFFF"/>
      <w:spacing w:line="0" w:lineRule="atLeast"/>
    </w:pPr>
    <w:rPr>
      <w:rFonts w:ascii="Corbel" w:eastAsia="Corbel" w:hAnsi="Corbel" w:cs="Corbel"/>
      <w:sz w:val="27"/>
      <w:szCs w:val="27"/>
    </w:rPr>
  </w:style>
  <w:style w:type="paragraph" w:customStyle="1" w:styleId="Balk10">
    <w:name w:val="Başlık #1"/>
    <w:basedOn w:val="Normal"/>
    <w:link w:val="Balk1"/>
    <w:rsid w:val="000768CD"/>
    <w:pPr>
      <w:shd w:val="clear" w:color="auto" w:fill="FFFFFF"/>
      <w:spacing w:after="60" w:line="0" w:lineRule="atLeast"/>
      <w:outlineLvl w:val="0"/>
    </w:pPr>
    <w:rPr>
      <w:rFonts w:ascii="Corbel" w:eastAsia="Corbel" w:hAnsi="Corbel" w:cs="Corbel"/>
      <w:spacing w:val="-20"/>
      <w:sz w:val="25"/>
      <w:szCs w:val="25"/>
    </w:rPr>
  </w:style>
  <w:style w:type="paragraph" w:customStyle="1" w:styleId="Gvdemetni0">
    <w:name w:val="Gövde metni"/>
    <w:basedOn w:val="Normal"/>
    <w:link w:val="Gvdemetni"/>
    <w:rsid w:val="000768CD"/>
    <w:pPr>
      <w:shd w:val="clear" w:color="auto" w:fill="FFFFFF"/>
      <w:spacing w:before="60" w:line="178" w:lineRule="exact"/>
      <w:jc w:val="both"/>
    </w:pPr>
    <w:rPr>
      <w:rFonts w:ascii="Arial" w:eastAsia="Arial" w:hAnsi="Arial" w:cs="Arial"/>
      <w:sz w:val="14"/>
      <w:szCs w:val="14"/>
    </w:rPr>
  </w:style>
  <w:style w:type="paragraph" w:customStyle="1" w:styleId="Tabloyazs0">
    <w:name w:val="Tablo yazısı"/>
    <w:basedOn w:val="Normal"/>
    <w:link w:val="Tabloyazs"/>
    <w:rsid w:val="000768CD"/>
    <w:pPr>
      <w:shd w:val="clear" w:color="auto" w:fill="FFFFFF"/>
      <w:spacing w:after="120" w:line="0" w:lineRule="atLeast"/>
    </w:pPr>
    <w:rPr>
      <w:rFonts w:ascii="Arial" w:eastAsia="Arial" w:hAnsi="Arial" w:cs="Arial"/>
      <w:sz w:val="14"/>
      <w:szCs w:val="14"/>
    </w:rPr>
  </w:style>
  <w:style w:type="paragraph" w:customStyle="1" w:styleId="Tabloyazs20">
    <w:name w:val="Tablo yazısı (2)"/>
    <w:basedOn w:val="Normal"/>
    <w:link w:val="Tabloyazs2"/>
    <w:rsid w:val="000768CD"/>
    <w:pPr>
      <w:shd w:val="clear" w:color="auto" w:fill="FFFFFF"/>
      <w:spacing w:before="120" w:line="0" w:lineRule="atLeast"/>
      <w:jc w:val="right"/>
    </w:pPr>
    <w:rPr>
      <w:rFonts w:ascii="Arial" w:eastAsia="Arial" w:hAnsi="Arial" w:cs="Arial"/>
      <w:b/>
      <w:bCs/>
      <w:spacing w:val="-20"/>
      <w:sz w:val="21"/>
      <w:szCs w:val="21"/>
    </w:rPr>
  </w:style>
  <w:style w:type="paragraph" w:customStyle="1" w:styleId="Tabloyazs30">
    <w:name w:val="Tablo yazısı (3)"/>
    <w:basedOn w:val="Normal"/>
    <w:link w:val="Tabloyazs3"/>
    <w:rsid w:val="000768CD"/>
    <w:pPr>
      <w:shd w:val="clear" w:color="auto" w:fill="FFFFFF"/>
      <w:spacing w:line="0" w:lineRule="atLeast"/>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2012-05-18T08:26:00Z</dcterms:created>
  <dcterms:modified xsi:type="dcterms:W3CDTF">2012-05-18T09:23:00Z</dcterms:modified>
</cp:coreProperties>
</file>