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T.C.</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BAŞBAKANLIK</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TOPLU KONUT İDARESİ BAŞKANLIĞI</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(TOKİ)</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İHALE İLANI</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YAPIM İŞİ YAPTIRILACAKTIR</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15"/>
          <w:lang w:eastAsia="tr-TR"/>
        </w:rPr>
        <w:t> </w:t>
      </w:r>
    </w:p>
    <w:p w:rsidR="00844886" w:rsidRPr="00844886" w:rsidRDefault="00844886" w:rsidP="00844886">
      <w:pPr>
        <w:spacing w:after="0" w:line="300" w:lineRule="atLeast"/>
        <w:jc w:val="center"/>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17"/>
          <w:lang w:eastAsia="tr-TR"/>
        </w:rPr>
        <w:t>YURT BİNALARI İLE ALTYAPI VE ÇEVRE DÜZENLEME İNŞAATI YAPTIRILACAKTIR</w:t>
      </w:r>
    </w:p>
    <w:p w:rsidR="00844886" w:rsidRPr="00844886" w:rsidRDefault="00844886" w:rsidP="00844886">
      <w:pPr>
        <w:spacing w:after="0" w:line="300" w:lineRule="atLeast"/>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17"/>
          <w:lang w:eastAsia="tr-TR"/>
        </w:rPr>
        <w:t>                                   </w:t>
      </w:r>
      <w:r w:rsidRPr="00844886">
        <w:rPr>
          <w:rFonts w:ascii="Verdana" w:eastAsia="Times New Roman" w:hAnsi="Verdana" w:cs="Times New Roman"/>
          <w:b/>
          <w:bCs/>
          <w:color w:val="000000"/>
          <w:sz w:val="17"/>
          <w:u w:val="single"/>
          <w:lang w:eastAsia="tr-TR"/>
        </w:rPr>
        <w:t>T.C. Başbakanlık Toplu Konut İdaresi Başkanlığı-TOKİ</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color w:val="000000"/>
          <w:sz w:val="17"/>
          <w:szCs w:val="17"/>
          <w:lang w:eastAsia="tr-TR"/>
        </w:rPr>
        <w:br/>
        <w:t>Bursa İli İnegöl İlçesi 500 Kişilik (526 Kişi Kapasiteli) Yurt Binaları İle Altyapı ve Çevre Düzenlemesi İnşaatı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57"/>
        <w:gridCol w:w="5660"/>
      </w:tblGrid>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2013/2253</w:t>
            </w:r>
          </w:p>
        </w:tc>
      </w:tr>
    </w:tbl>
    <w:p w:rsidR="00844886" w:rsidRPr="00844886" w:rsidRDefault="00844886" w:rsidP="00844886">
      <w:pPr>
        <w:spacing w:after="0" w:line="300" w:lineRule="atLeast"/>
        <w:jc w:val="both"/>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15"/>
          <w:szCs w:val="15"/>
          <w:lang w:eastAsia="tr-TR"/>
        </w:rPr>
        <w:t> </w:t>
      </w:r>
    </w:p>
    <w:tbl>
      <w:tblPr>
        <w:tblW w:w="5000" w:type="pct"/>
        <w:tblCellSpacing w:w="15" w:type="dxa"/>
        <w:tblCellMar>
          <w:left w:w="0" w:type="dxa"/>
          <w:right w:w="0" w:type="dxa"/>
        </w:tblCellMar>
        <w:tblLook w:val="04A0"/>
      </w:tblPr>
      <w:tblGrid>
        <w:gridCol w:w="3345"/>
        <w:gridCol w:w="169"/>
        <w:gridCol w:w="5648"/>
      </w:tblGrid>
      <w:tr w:rsidR="00844886" w:rsidRPr="00844886" w:rsidTr="00844886">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divId w:val="1100298703"/>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1-İdarenin</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a)</w:t>
            </w:r>
            <w:r w:rsidRPr="00844886">
              <w:rPr>
                <w:rFonts w:ascii="Verdana" w:eastAsia="Times New Roman" w:hAnsi="Verdana" w:cs="Times New Roman"/>
                <w:color w:val="000000"/>
                <w:sz w:val="24"/>
                <w:szCs w:val="24"/>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T.C. Başbakanlık Toplu Konut İdaresi Baskanlığı Bilkent Plaza B1 Blok 06800 Bilkent ÇANKAYA/ANKARA</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b)</w:t>
            </w:r>
            <w:r w:rsidRPr="00844886">
              <w:rPr>
                <w:rFonts w:ascii="Verdana" w:eastAsia="Times New Roman" w:hAnsi="Verdana" w:cs="Times New Roman"/>
                <w:color w:val="000000"/>
                <w:sz w:val="24"/>
                <w:szCs w:val="24"/>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3122667680 - 3122660134</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c)</w:t>
            </w:r>
            <w:r w:rsidRPr="00844886">
              <w:rPr>
                <w:rFonts w:ascii="Verdana" w:eastAsia="Times New Roman" w:hAnsi="Verdana" w:cs="Times New Roman"/>
                <w:color w:val="000000"/>
                <w:sz w:val="24"/>
                <w:szCs w:val="24"/>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msoylu@toki.gov.tr</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ç)</w:t>
            </w:r>
            <w:r w:rsidRPr="00844886">
              <w:rPr>
                <w:rFonts w:ascii="Verdana" w:eastAsia="Times New Roman" w:hAnsi="Verdana" w:cs="Times New Roman"/>
                <w:color w:val="000000"/>
                <w:sz w:val="24"/>
                <w:szCs w:val="24"/>
                <w:lang w:eastAsia="tr-TR"/>
              </w:rPr>
              <w:t> 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https://ekap.kik.gov.tr/EKAP/</w:t>
            </w:r>
          </w:p>
        </w:tc>
      </w:tr>
    </w:tbl>
    <w:p w:rsidR="00844886" w:rsidRPr="00844886" w:rsidRDefault="00844886" w:rsidP="00844886">
      <w:pPr>
        <w:spacing w:after="0" w:line="300" w:lineRule="atLeast"/>
        <w:jc w:val="both"/>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17"/>
          <w:szCs w:val="17"/>
          <w:lang w:eastAsia="tr-TR"/>
        </w:rPr>
        <w:br/>
        <w:t>2-İhale konusu yapım işinin</w:t>
      </w:r>
    </w:p>
    <w:tbl>
      <w:tblPr>
        <w:tblW w:w="5000" w:type="pct"/>
        <w:tblCellSpacing w:w="15" w:type="dxa"/>
        <w:tblCellMar>
          <w:left w:w="0" w:type="dxa"/>
          <w:right w:w="0" w:type="dxa"/>
        </w:tblCellMar>
        <w:tblLook w:val="04A0"/>
      </w:tblPr>
      <w:tblGrid>
        <w:gridCol w:w="3345"/>
        <w:gridCol w:w="169"/>
        <w:gridCol w:w="5648"/>
      </w:tblGrid>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a)</w:t>
            </w:r>
            <w:r w:rsidRPr="00844886">
              <w:rPr>
                <w:rFonts w:ascii="Verdana" w:eastAsia="Times New Roman" w:hAnsi="Verdana" w:cs="Times New Roman"/>
                <w:color w:val="000000"/>
                <w:sz w:val="24"/>
                <w:szCs w:val="24"/>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İhalenin niteliği, türü ve miktarına ilişkin ayrıntılı bilgiye EKAP’ta (Elektronik Kamu Alımları Platformu) yer alan ihale dokümanı içinde bulunan idari şartnameden ulaşılabilir.</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b)</w:t>
            </w:r>
            <w:r w:rsidRPr="00844886">
              <w:rPr>
                <w:rFonts w:ascii="Verdana" w:eastAsia="Times New Roman" w:hAnsi="Verdana" w:cs="Times New Roman"/>
                <w:color w:val="000000"/>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Bursa</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c)</w:t>
            </w:r>
            <w:r w:rsidRPr="00844886">
              <w:rPr>
                <w:rFonts w:ascii="Verdana" w:eastAsia="Times New Roman" w:hAnsi="Verdana" w:cs="Times New Roman"/>
                <w:color w:val="000000"/>
                <w:sz w:val="24"/>
                <w:szCs w:val="24"/>
                <w:lang w:eastAsia="tr-TR"/>
              </w:rPr>
              <w:t> 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Sözleşmenin imzalandığı tarihten itibaren 5 gün içinde </w:t>
            </w:r>
            <w:r w:rsidRPr="00844886">
              <w:rPr>
                <w:rFonts w:ascii="Verdana" w:eastAsia="Times New Roman" w:hAnsi="Verdana" w:cs="Times New Roman"/>
                <w:color w:val="000000"/>
                <w:sz w:val="24"/>
                <w:szCs w:val="24"/>
                <w:lang w:eastAsia="tr-TR"/>
              </w:rPr>
              <w:br/>
              <w:t>yer teslimi yapılarak işe başlanacaktır.</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ç)</w:t>
            </w:r>
            <w:r w:rsidRPr="00844886">
              <w:rPr>
                <w:rFonts w:ascii="Verdana" w:eastAsia="Times New Roman" w:hAnsi="Verdana" w:cs="Times New Roman"/>
                <w:color w:val="000000"/>
                <w:sz w:val="24"/>
                <w:szCs w:val="24"/>
                <w:lang w:eastAsia="tr-TR"/>
              </w:rPr>
              <w:t> 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Yer tesliminden itibaren 600 (altıyüz) takvim günüdür.</w:t>
            </w:r>
          </w:p>
        </w:tc>
      </w:tr>
    </w:tbl>
    <w:p w:rsidR="00844886" w:rsidRPr="00844886" w:rsidRDefault="00844886" w:rsidP="00844886">
      <w:pPr>
        <w:spacing w:after="0" w:line="300" w:lineRule="atLeast"/>
        <w:jc w:val="both"/>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17"/>
          <w:szCs w:val="17"/>
          <w:lang w:eastAsia="tr-TR"/>
        </w:rPr>
        <w:br/>
        <w:t>3- İhalenin</w:t>
      </w:r>
    </w:p>
    <w:tbl>
      <w:tblPr>
        <w:tblW w:w="5000" w:type="pct"/>
        <w:tblCellSpacing w:w="15" w:type="dxa"/>
        <w:tblCellMar>
          <w:left w:w="0" w:type="dxa"/>
          <w:right w:w="0" w:type="dxa"/>
        </w:tblCellMar>
        <w:tblLook w:val="04A0"/>
      </w:tblPr>
      <w:tblGrid>
        <w:gridCol w:w="3345"/>
        <w:gridCol w:w="169"/>
        <w:gridCol w:w="5648"/>
      </w:tblGrid>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a)</w:t>
            </w:r>
            <w:r w:rsidRPr="00844886">
              <w:rPr>
                <w:rFonts w:ascii="Verdana" w:eastAsia="Times New Roman" w:hAnsi="Verdana" w:cs="Times New Roman"/>
                <w:color w:val="000000"/>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T.C.Başbakanlık Toplu Konut İdaresi Başkanlığı Bilkent Plaza B1 Blok Bilkent 06800 ÇANKAYA/ ANKARA</w:t>
            </w:r>
          </w:p>
        </w:tc>
      </w:tr>
      <w:tr w:rsidR="00844886" w:rsidRPr="00844886" w:rsidTr="0084488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b)</w:t>
            </w:r>
            <w:r w:rsidRPr="00844886">
              <w:rPr>
                <w:rFonts w:ascii="Verdana" w:eastAsia="Times New Roman" w:hAnsi="Verdana" w:cs="Times New Roman"/>
                <w:color w:val="000000"/>
                <w:sz w:val="24"/>
                <w:szCs w:val="24"/>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12.02.2013 - 14:30</w:t>
            </w:r>
          </w:p>
        </w:tc>
      </w:tr>
    </w:tbl>
    <w:p w:rsidR="00844886" w:rsidRPr="00844886" w:rsidRDefault="00844886" w:rsidP="00844886">
      <w:pPr>
        <w:spacing w:after="0" w:line="300" w:lineRule="atLeast"/>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17"/>
          <w:szCs w:val="17"/>
          <w:lang w:eastAsia="tr-TR"/>
        </w:rPr>
        <w:lastRenderedPageBreak/>
        <w:br/>
      </w:r>
      <w:r w:rsidRPr="00844886">
        <w:rPr>
          <w:rFonts w:ascii="Verdana" w:eastAsia="Times New Roman" w:hAnsi="Verdana" w:cs="Times New Roman"/>
          <w:b/>
          <w:bCs/>
          <w:color w:val="000000"/>
          <w:sz w:val="17"/>
          <w:lang w:eastAsia="tr-TR"/>
        </w:rPr>
        <w:t>4. İhaleye katılabilme şartları ve istenilen belgeler ile yeterlik değerlendirmesinde uygulanacak kriterler:</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İhaleye katılma şartları ve istenilen belgeler: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4.1.1.</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Mevzuatı gereği kayıtlı olduğu Ticaret ve/veya Sanayi Odası ya da Esnaf ve Sanatkarlar Odası veya ilgili Meslek Odası Belgesi.</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4.1.1.1.</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Gerçek kişi olması halinde, kayıtlı olduğu ticaret ve/veya sanayi odasından ya da esnaf ve sânatkar odasından veya ilgili meslek odasından, ilk ilan veya ihale tarihinin içinde bulunduğu yılda alınmış, odaya kayıtlı olduğunu gösterir belge,</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4.1.1.2.</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4.1.2.</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Teklif vermeye yetkili olduğunu gösteren İmza Beyannamesi veya İmza Sirküleri.</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4.1.2.1.</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Gerçek kişi olması halinde, noter tasdikli imza beyannamesi.</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4.1.2.2.</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4.1.3.</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Şekli ve içeriği İdari Şartnamede belirlenen teklif mektubu.</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4.1.4.</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Şekli ve içeriği İdari Şartnamede belirlenen geçici teminat.</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4.1.5</w:t>
      </w:r>
      <w:r w:rsidRPr="00844886">
        <w:rPr>
          <w:rFonts w:ascii="Verdana" w:eastAsia="Times New Roman" w:hAnsi="Verdana" w:cs="Times New Roman"/>
          <w:color w:val="000000"/>
          <w:sz w:val="17"/>
          <w:szCs w:val="17"/>
          <w:lang w:eastAsia="tr-TR"/>
        </w:rPr>
        <w:t>İhale konusu işte idarenin onayı ile alt yüklenici çalıştırılabilir. Ancak işin tamamı alt yüklenicilere yaptırılamaz.</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4.1.6</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tblCellMar>
          <w:left w:w="0" w:type="dxa"/>
          <w:right w:w="0" w:type="dxa"/>
        </w:tblCellMar>
        <w:tblLook w:val="04A0"/>
      </w:tblPr>
      <w:tblGrid>
        <w:gridCol w:w="9162"/>
      </w:tblGrid>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divId w:val="637152024"/>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4.2. Ekonomik ve mali yeterliğe ilişkin belgeler ve bu belgelerin taşıması gereken kriterler: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4.2.1 Bankalardan temin edilecek belgeler: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Teklif edilen bedelin % 10 dan az olmamak üzere istekli tarafından belirlenecek tutarda bankalar nezdindeki kullanılmamış nakdi veya gayrinakdi kredisini ya da üzerinde kısıtlama bulunmayan mevduatını gösteren banka referans mektubu, </w:t>
            </w:r>
            <w:r w:rsidRPr="00844886">
              <w:rPr>
                <w:rFonts w:ascii="Verdana" w:eastAsia="Times New Roman" w:hAnsi="Verdana" w:cs="Times New Roman"/>
                <w:color w:val="000000"/>
                <w:sz w:val="24"/>
                <w:szCs w:val="24"/>
                <w:lang w:eastAsia="tr-TR"/>
              </w:rPr>
              <w:br/>
              <w:t>Bu kriterler, mevduat ve kredi tutarları toplanmak ya da birden fazla banka referans mektubu sunulmak suretiyle de sağlanabilir.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4.2.2. İsteklinin ihalenin yapıldığı yıldan önceki yıla ait yıl sonu bilançosu veya eşdeğer belgeleri:</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İsteklinin ihalenin yapıldığı yıldan önceki yıla ait yıl sonu bilançosu veya eşdeğer belgeleri; </w:t>
            </w:r>
            <w:r w:rsidRPr="00844886">
              <w:rPr>
                <w:rFonts w:ascii="Verdana" w:eastAsia="Times New Roman" w:hAnsi="Verdana" w:cs="Times New Roman"/>
                <w:color w:val="000000"/>
                <w:sz w:val="24"/>
                <w:szCs w:val="24"/>
                <w:lang w:eastAsia="tr-TR"/>
              </w:rPr>
              <w:br/>
              <w:t>a) İlgili mevzuatı uyarınca bilançosunu yayımlatma zorunluluğu olan istekliler yıl sonu bilançosunu veya bilançonun gerekli kriterlerin sağlandığını gösteren bölümlerini,</w:t>
            </w:r>
            <w:r w:rsidRPr="00844886">
              <w:rPr>
                <w:rFonts w:ascii="Verdana" w:eastAsia="Times New Roman" w:hAnsi="Verdana" w:cs="Times New Roman"/>
                <w:color w:val="000000"/>
                <w:sz w:val="24"/>
                <w:szCs w:val="24"/>
                <w:lang w:eastAsia="tr-TR"/>
              </w:rPr>
              <w:br/>
              <w:t xml:space="preserve">b) İlgili mevzuatı uyarınca bilançosunu yayımlatma zorunluluğu olmayan istekliler, yıl sonu bilançosunu veya bilançonun gerekli kriterlerin sağlandığını gösteren bölümlerini ya da bu kriterlerin sağlandığını </w:t>
            </w:r>
            <w:r w:rsidRPr="00844886">
              <w:rPr>
                <w:rFonts w:ascii="Verdana" w:eastAsia="Times New Roman" w:hAnsi="Verdana" w:cs="Times New Roman"/>
                <w:color w:val="000000"/>
                <w:sz w:val="24"/>
                <w:szCs w:val="24"/>
                <w:lang w:eastAsia="tr-TR"/>
              </w:rPr>
              <w:lastRenderedPageBreak/>
              <w:t>göstermek üzere yeminli mali müşavir veya serbest muhasebeci mali müşavir tarafından standart forma uygun olarak düzenlenen belgeyi sunar.</w:t>
            </w:r>
            <w:r w:rsidRPr="00844886">
              <w:rPr>
                <w:rFonts w:ascii="Verdana" w:eastAsia="Times New Roman" w:hAnsi="Verdana" w:cs="Times New Roman"/>
                <w:color w:val="000000"/>
                <w:sz w:val="24"/>
                <w:szCs w:val="24"/>
                <w:lang w:eastAsia="tr-TR"/>
              </w:rPr>
              <w:br/>
              <w:t>Sunulan bilanço veya eşdeğer belgelerde; </w:t>
            </w:r>
            <w:r w:rsidRPr="00844886">
              <w:rPr>
                <w:rFonts w:ascii="Verdana" w:eastAsia="Times New Roman" w:hAnsi="Verdana" w:cs="Times New Roman"/>
                <w:color w:val="000000"/>
                <w:sz w:val="24"/>
                <w:szCs w:val="24"/>
                <w:lang w:eastAsia="tr-TR"/>
              </w:rPr>
              <w:br/>
              <w:t>a) Cari oranın (dönen varlıklar / kısa vadeli borçlar) en az 0,75 olması, </w:t>
            </w:r>
            <w:r w:rsidRPr="00844886">
              <w:rPr>
                <w:rFonts w:ascii="Verdana" w:eastAsia="Times New Roman" w:hAnsi="Verdana" w:cs="Times New Roman"/>
                <w:color w:val="000000"/>
                <w:sz w:val="24"/>
                <w:szCs w:val="24"/>
                <w:lang w:eastAsia="tr-TR"/>
              </w:rPr>
              <w:br/>
              <w:t>b) Öz kaynak oranının (öz kaynaklar/ toplam aktif) en az 0,15 olması, </w:t>
            </w:r>
            <w:r w:rsidRPr="00844886">
              <w:rPr>
                <w:rFonts w:ascii="Verdana" w:eastAsia="Times New Roman" w:hAnsi="Verdana" w:cs="Times New Roman"/>
                <w:color w:val="000000"/>
                <w:sz w:val="24"/>
                <w:szCs w:val="24"/>
                <w:lang w:eastAsia="tr-TR"/>
              </w:rPr>
              <w:br/>
              <w:t>c) Kısa vadeli banka borçlarının öz kaynaklara oranının 0,50’den küçük olması, yeterlik kriterleridir ve bu üç kriter birlikte aranır. </w:t>
            </w:r>
            <w:r w:rsidRPr="00844886">
              <w:rPr>
                <w:rFonts w:ascii="Verdana" w:eastAsia="Times New Roman" w:hAnsi="Verdana" w:cs="Times New Roman"/>
                <w:color w:val="000000"/>
                <w:sz w:val="24"/>
                <w:szCs w:val="24"/>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r w:rsidRPr="00844886">
              <w:rPr>
                <w:rFonts w:ascii="Verdana" w:eastAsia="Times New Roman" w:hAnsi="Verdana" w:cs="Times New Roman"/>
                <w:color w:val="000000"/>
                <w:sz w:val="24"/>
                <w:szCs w:val="24"/>
                <w:lang w:eastAsia="tr-TR"/>
              </w:rPr>
              <w:br/>
              <w:t>İhale veya son başvuru tarihi yılın ilk dört ayında olan ihalelerde,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lastRenderedPageBreak/>
              <w:t>4.2.3. İş hacmini gösteren belgeler: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İsteklinin ihalenin yapıldığı yıldan önceki yıla ait, aşağıda belirtilen belgelerden birini sunması yeterlidir;</w:t>
            </w:r>
            <w:r w:rsidRPr="00844886">
              <w:rPr>
                <w:rFonts w:ascii="Verdana" w:eastAsia="Times New Roman" w:hAnsi="Verdana" w:cs="Times New Roman"/>
                <w:color w:val="000000"/>
                <w:sz w:val="24"/>
                <w:szCs w:val="24"/>
                <w:lang w:eastAsia="tr-TR"/>
              </w:rPr>
              <w:br/>
              <w:t>a) Toplam cirosunu gösteren gelir tablosu, </w:t>
            </w:r>
            <w:r w:rsidRPr="00844886">
              <w:rPr>
                <w:rFonts w:ascii="Verdana" w:eastAsia="Times New Roman" w:hAnsi="Verdana" w:cs="Times New Roman"/>
                <w:color w:val="000000"/>
                <w:sz w:val="24"/>
                <w:szCs w:val="24"/>
                <w:lang w:eastAsia="tr-TR"/>
              </w:rPr>
              <w:br/>
              <w:t>b) Taahhüt altında devam eden yapım işlerinin gerçekleştirilen kısmının veya bitirilen yapım işlerinin parasal tutarını gösteren faturalar. </w:t>
            </w:r>
            <w:r w:rsidRPr="00844886">
              <w:rPr>
                <w:rFonts w:ascii="Verdana" w:eastAsia="Times New Roman" w:hAnsi="Verdana" w:cs="Times New Roman"/>
                <w:color w:val="000000"/>
                <w:sz w:val="24"/>
                <w:szCs w:val="24"/>
                <w:lang w:eastAsia="tr-TR"/>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844886">
              <w:rPr>
                <w:rFonts w:ascii="Verdana" w:eastAsia="Times New Roman" w:hAnsi="Verdana" w:cs="Times New Roman"/>
                <w:color w:val="000000"/>
                <w:sz w:val="24"/>
                <w:szCs w:val="24"/>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r w:rsidRPr="00844886">
              <w:rPr>
                <w:rFonts w:ascii="Verdana" w:eastAsia="Times New Roman" w:hAnsi="Verdana" w:cs="Times New Roman"/>
                <w:color w:val="000000"/>
                <w:sz w:val="24"/>
                <w:szCs w:val="24"/>
                <w:lang w:eastAsia="tr-TR"/>
              </w:rPr>
              <w:br/>
            </w:r>
            <w:r w:rsidRPr="00844886">
              <w:rPr>
                <w:rFonts w:ascii="Verdana" w:eastAsia="Times New Roman" w:hAnsi="Verdana" w:cs="Times New Roman"/>
                <w:color w:val="000000"/>
                <w:sz w:val="24"/>
                <w:szCs w:val="24"/>
                <w:lang w:eastAsia="tr-TR"/>
              </w:rPr>
              <w:br/>
              <w:t>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tc>
      </w:tr>
    </w:tbl>
    <w:p w:rsidR="00844886" w:rsidRPr="00844886" w:rsidRDefault="00844886" w:rsidP="00844886">
      <w:pPr>
        <w:spacing w:after="0" w:line="300" w:lineRule="atLeast"/>
        <w:jc w:val="both"/>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15"/>
          <w:szCs w:val="15"/>
          <w:lang w:eastAsia="tr-TR"/>
        </w:rPr>
        <w:t> </w:t>
      </w:r>
    </w:p>
    <w:tbl>
      <w:tblPr>
        <w:tblW w:w="5000" w:type="pct"/>
        <w:tblCellSpacing w:w="15" w:type="dxa"/>
        <w:tblCellMar>
          <w:left w:w="0" w:type="dxa"/>
          <w:right w:w="0" w:type="dxa"/>
        </w:tblCellMar>
        <w:tblLook w:val="04A0"/>
      </w:tblPr>
      <w:tblGrid>
        <w:gridCol w:w="9162"/>
      </w:tblGrid>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divId w:val="1803423275"/>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4.3. Mesleki ve Teknik yeterliğe ilişkin belgeler ve bu belgelerin taşıması gereken kriterler: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lastRenderedPageBreak/>
              <w:t>4.3.1. İş deneyim belgeleri:</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Son on beş yıl içinde bedel içeren bir sözleşme kapsamında taahhüt edilen ve teklif edilen bedelin % 90 oranından az olmamak üzere ihale konusu iş veya benzer işlere ilişkin iş deneyimini gösteren belgeler.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4.3.2. Makine, teçhizat ve diğer ekipmana ilişkin belgeler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u w:val="single"/>
                <w:lang w:eastAsia="tr-TR"/>
              </w:rPr>
              <w:t>Sıra No</w:t>
            </w:r>
            <w:r w:rsidRPr="00844886">
              <w:rPr>
                <w:rFonts w:ascii="Verdana" w:eastAsia="Times New Roman" w:hAnsi="Verdana" w:cs="Times New Roman"/>
                <w:color w:val="000000"/>
                <w:sz w:val="24"/>
                <w:szCs w:val="24"/>
                <w:lang w:eastAsia="tr-TR"/>
              </w:rPr>
              <w:t>           </w:t>
            </w:r>
            <w:r w:rsidRPr="00844886">
              <w:rPr>
                <w:rFonts w:ascii="Verdana" w:eastAsia="Times New Roman" w:hAnsi="Verdana" w:cs="Times New Roman"/>
                <w:color w:val="000000"/>
                <w:sz w:val="24"/>
                <w:szCs w:val="24"/>
                <w:u w:val="single"/>
                <w:lang w:eastAsia="tr-TR"/>
              </w:rPr>
              <w:t>Makine, Ekipman cinsi ve Özellikleri</w:t>
            </w:r>
            <w:r w:rsidRPr="00844886">
              <w:rPr>
                <w:rFonts w:ascii="Verdana" w:eastAsia="Times New Roman" w:hAnsi="Verdana" w:cs="Times New Roman"/>
                <w:color w:val="000000"/>
                <w:sz w:val="24"/>
                <w:szCs w:val="24"/>
                <w:lang w:eastAsia="tr-TR"/>
              </w:rPr>
              <w:t>          </w:t>
            </w:r>
            <w:r w:rsidRPr="00844886">
              <w:rPr>
                <w:rFonts w:ascii="Verdana" w:eastAsia="Times New Roman" w:hAnsi="Verdana" w:cs="Times New Roman"/>
                <w:color w:val="000000"/>
                <w:sz w:val="24"/>
                <w:szCs w:val="24"/>
                <w:u w:val="single"/>
                <w:lang w:eastAsia="tr-TR"/>
              </w:rPr>
              <w:t>Gerekli Minimum Miktar</w:t>
            </w:r>
            <w:r w:rsidRPr="00844886">
              <w:rPr>
                <w:rFonts w:ascii="Verdana" w:eastAsia="Times New Roman" w:hAnsi="Verdana" w:cs="Times New Roman"/>
                <w:color w:val="000000"/>
                <w:sz w:val="24"/>
                <w:szCs w:val="24"/>
                <w:lang w:eastAsia="tr-TR"/>
              </w:rPr>
              <w:br/>
              <w:t>1                                        Ekskavatör                                                 1 Adet</w:t>
            </w:r>
            <w:r w:rsidRPr="00844886">
              <w:rPr>
                <w:rFonts w:ascii="Verdana" w:eastAsia="Times New Roman" w:hAnsi="Verdana" w:cs="Times New Roman"/>
                <w:color w:val="000000"/>
                <w:sz w:val="24"/>
                <w:szCs w:val="24"/>
                <w:lang w:eastAsia="tr-TR"/>
              </w:rPr>
              <w:br/>
              <w:t>2                                        Traktör Kepçe                                            2 Adet</w:t>
            </w:r>
            <w:r w:rsidRPr="00844886">
              <w:rPr>
                <w:rFonts w:ascii="Verdana" w:eastAsia="Times New Roman" w:hAnsi="Verdana" w:cs="Times New Roman"/>
                <w:color w:val="000000"/>
                <w:sz w:val="24"/>
                <w:szCs w:val="24"/>
                <w:lang w:eastAsia="tr-TR"/>
              </w:rPr>
              <w:br/>
              <w:t>3                                        Dozer                                                         1 Adet</w:t>
            </w:r>
            <w:r w:rsidRPr="00844886">
              <w:rPr>
                <w:rFonts w:ascii="Verdana" w:eastAsia="Times New Roman" w:hAnsi="Verdana" w:cs="Times New Roman"/>
                <w:color w:val="000000"/>
                <w:sz w:val="24"/>
                <w:szCs w:val="24"/>
                <w:lang w:eastAsia="tr-TR"/>
              </w:rPr>
              <w:br/>
              <w:t>4                                        İnş.Asansörü                                              2 Adet</w:t>
            </w:r>
            <w:r w:rsidRPr="00844886">
              <w:rPr>
                <w:rFonts w:ascii="Verdana" w:eastAsia="Times New Roman" w:hAnsi="Verdana" w:cs="Times New Roman"/>
                <w:color w:val="000000"/>
                <w:sz w:val="24"/>
                <w:szCs w:val="24"/>
                <w:lang w:eastAsia="tr-TR"/>
              </w:rPr>
              <w:br/>
              <w:t>5                                        Kamyon                                                     4 Adet</w:t>
            </w:r>
            <w:r w:rsidRPr="00844886">
              <w:rPr>
                <w:rFonts w:ascii="Verdana" w:eastAsia="Times New Roman" w:hAnsi="Verdana" w:cs="Times New Roman"/>
                <w:color w:val="000000"/>
                <w:sz w:val="24"/>
                <w:szCs w:val="24"/>
                <w:lang w:eastAsia="tr-TR"/>
              </w:rPr>
              <w:br/>
              <w:t>6                                        Hiyap Vinç(30 tonluk)                              1 Adet</w:t>
            </w:r>
            <w:r w:rsidRPr="00844886">
              <w:rPr>
                <w:rFonts w:ascii="Verdana" w:eastAsia="Times New Roman" w:hAnsi="Verdana" w:cs="Times New Roman"/>
                <w:color w:val="000000"/>
                <w:sz w:val="24"/>
                <w:szCs w:val="24"/>
                <w:lang w:eastAsia="tr-TR"/>
              </w:rPr>
              <w:br/>
              <w:t>7                                        Vibratör                                                     3 Adet</w:t>
            </w:r>
            <w:r w:rsidRPr="00844886">
              <w:rPr>
                <w:rFonts w:ascii="Verdana" w:eastAsia="Times New Roman" w:hAnsi="Verdana" w:cs="Times New Roman"/>
                <w:color w:val="000000"/>
                <w:sz w:val="24"/>
                <w:szCs w:val="24"/>
                <w:lang w:eastAsia="tr-TR"/>
              </w:rPr>
              <w:br/>
              <w:t>8                                        Kırıcı                                                         2 Adet</w:t>
            </w:r>
            <w:r w:rsidRPr="00844886">
              <w:rPr>
                <w:rFonts w:ascii="Verdana" w:eastAsia="Times New Roman" w:hAnsi="Verdana" w:cs="Times New Roman"/>
                <w:color w:val="000000"/>
                <w:sz w:val="24"/>
                <w:szCs w:val="24"/>
                <w:lang w:eastAsia="tr-TR"/>
              </w:rPr>
              <w:br/>
              <w:t>Tesis, makine, teçhizat ve diğer ekipman için kendi malı olma şartının aranmaması esastır.</w:t>
            </w:r>
          </w:p>
        </w:tc>
      </w:tr>
    </w:tbl>
    <w:p w:rsidR="00844886" w:rsidRPr="00844886" w:rsidRDefault="00844886" w:rsidP="00844886">
      <w:pPr>
        <w:spacing w:after="0" w:line="300" w:lineRule="atLeast"/>
        <w:jc w:val="both"/>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15"/>
          <w:szCs w:val="15"/>
          <w:lang w:eastAsia="tr-TR"/>
        </w:rPr>
        <w:t> </w:t>
      </w:r>
    </w:p>
    <w:tbl>
      <w:tblPr>
        <w:tblW w:w="5000" w:type="pct"/>
        <w:tblCellSpacing w:w="15" w:type="dxa"/>
        <w:tblCellMar>
          <w:left w:w="0" w:type="dxa"/>
          <w:right w:w="0" w:type="dxa"/>
        </w:tblCellMar>
        <w:tblLook w:val="04A0"/>
      </w:tblPr>
      <w:tblGrid>
        <w:gridCol w:w="9162"/>
      </w:tblGrid>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divId w:val="1881094069"/>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4.4.Bu ihalede benzer iş olarak kabul edilecek işler ve benzer işlere denk sayılacak mühendislik ve mimarlık bölümleri:</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4.4.1.</w:t>
            </w:r>
            <w:r w:rsidRPr="00844886">
              <w:rPr>
                <w:rFonts w:ascii="Verdana" w:eastAsia="Times New Roman" w:hAnsi="Verdana" w:cs="Times New Roman"/>
                <w:color w:val="000000"/>
                <w:sz w:val="24"/>
                <w:szCs w:val="24"/>
                <w:lang w:eastAsia="tr-TR"/>
              </w:rPr>
              <w:t> Bu ihalede benzer iş olarak kabul edilecek işler: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11.06.2011 tarih ve 27961 sayılı Resmi Gazetede yayımlanan "Yapım İşlerinde benzer iş grupları tebliği" nde yer alan B/III grubu işler benzer iş olarak kabul edilecektir.</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24"/>
                <w:szCs w:val="24"/>
                <w:lang w:eastAsia="tr-TR"/>
              </w:rPr>
              <w:t>4.4.2.</w:t>
            </w:r>
            <w:r w:rsidRPr="00844886">
              <w:rPr>
                <w:rFonts w:ascii="Verdana" w:eastAsia="Times New Roman" w:hAnsi="Verdana" w:cs="Times New Roman"/>
                <w:color w:val="000000"/>
                <w:sz w:val="24"/>
                <w:szCs w:val="24"/>
                <w:lang w:eastAsia="tr-TR"/>
              </w:rPr>
              <w:t> Benzer işe denk sayılacak mühendislik veya mimarlık bölümleri:</w:t>
            </w:r>
          </w:p>
        </w:tc>
      </w:tr>
      <w:tr w:rsidR="00844886" w:rsidRPr="00844886" w:rsidTr="0084488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44886" w:rsidRPr="00844886" w:rsidRDefault="00844886" w:rsidP="00844886">
            <w:pPr>
              <w:spacing w:after="0" w:line="240" w:lineRule="auto"/>
              <w:rPr>
                <w:rFonts w:ascii="Verdana" w:eastAsia="Times New Roman" w:hAnsi="Verdana" w:cs="Times New Roman"/>
                <w:color w:val="000000"/>
                <w:sz w:val="15"/>
                <w:szCs w:val="15"/>
                <w:lang w:eastAsia="tr-TR"/>
              </w:rPr>
            </w:pPr>
            <w:r w:rsidRPr="00844886">
              <w:rPr>
                <w:rFonts w:ascii="Verdana" w:eastAsia="Times New Roman" w:hAnsi="Verdana" w:cs="Times New Roman"/>
                <w:color w:val="000000"/>
                <w:sz w:val="24"/>
                <w:szCs w:val="24"/>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844886" w:rsidRPr="00844886" w:rsidRDefault="00844886" w:rsidP="00844886">
      <w:pPr>
        <w:spacing w:after="0" w:line="300" w:lineRule="atLeast"/>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17"/>
          <w:lang w:eastAsia="tr-TR"/>
        </w:rPr>
        <w:t>5.</w:t>
      </w:r>
      <w:r w:rsidRPr="00844886">
        <w:rPr>
          <w:rFonts w:ascii="Verdana" w:eastAsia="Times New Roman" w:hAnsi="Verdana" w:cs="Times New Roman"/>
          <w:color w:val="000000"/>
          <w:sz w:val="17"/>
          <w:szCs w:val="17"/>
          <w:lang w:eastAsia="tr-TR"/>
        </w:rPr>
        <w:t>Ekonomik açıdan en avantajlı teklif sadece fiyat esasına göre belirlenecektir.</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6.</w:t>
      </w:r>
      <w:r w:rsidRPr="00844886">
        <w:rPr>
          <w:rFonts w:ascii="Verdana" w:eastAsia="Times New Roman" w:hAnsi="Verdana" w:cs="Times New Roman"/>
          <w:color w:val="000000"/>
          <w:sz w:val="17"/>
          <w:szCs w:val="17"/>
          <w:lang w:eastAsia="tr-TR"/>
        </w:rPr>
        <w:t>İhaleye sadece yerli istekliler katılabilecektir.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7.</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İhale dokümanının görülmesi ve satın alınması:</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7.1.</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 xml:space="preserve">İhale dokümanı, idarenin adresinde görülebilir ve 500 TRY (Türk Lirası)karşılığı T.C.Başbakanlık </w:t>
      </w:r>
      <w:r w:rsidRPr="00844886">
        <w:rPr>
          <w:rFonts w:ascii="Verdana" w:eastAsia="Times New Roman" w:hAnsi="Verdana" w:cs="Times New Roman"/>
          <w:color w:val="000000"/>
          <w:sz w:val="17"/>
          <w:szCs w:val="17"/>
          <w:lang w:eastAsia="tr-TR"/>
        </w:rPr>
        <w:lastRenderedPageBreak/>
        <w:t>Toplu Konut İdaresi Başkanlığı adresinden satın alınabilir.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7.2.</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İhaleye teklif verecek olanların ihale dokümanını satın almaları zorunludur.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8.</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9.</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10.</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İstekliler teklif ettikleri bedelin %3’ünden az olmamak üzere kendi belirleyecekleri tutarda geçici teminat vereceklerdir.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11.</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Verilen tekliflerin geçerlilik süresi, ihale tarihinden itibaren 120 (yüzyirmi) takvim günüdür.</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12.</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t>Konsorsiyum olarak ihaleye teklif verilemez.</w:t>
      </w:r>
      <w:r w:rsidRPr="00844886">
        <w:rPr>
          <w:rFonts w:ascii="Verdana" w:eastAsia="Times New Roman" w:hAnsi="Verdana" w:cs="Times New Roman"/>
          <w:color w:val="000000"/>
          <w:sz w:val="17"/>
          <w:lang w:eastAsia="tr-TR"/>
        </w:rPr>
        <w:t> </w:t>
      </w:r>
      <w:r w:rsidRPr="00844886">
        <w:rPr>
          <w:rFonts w:ascii="Verdana" w:eastAsia="Times New Roman" w:hAnsi="Verdana" w:cs="Times New Roman"/>
          <w:color w:val="000000"/>
          <w:sz w:val="17"/>
          <w:szCs w:val="17"/>
          <w:lang w:eastAsia="tr-TR"/>
        </w:rPr>
        <w:br/>
      </w:r>
      <w:r w:rsidRPr="00844886">
        <w:rPr>
          <w:rFonts w:ascii="Verdana" w:eastAsia="Times New Roman" w:hAnsi="Verdana" w:cs="Times New Roman"/>
          <w:b/>
          <w:bCs/>
          <w:color w:val="000000"/>
          <w:sz w:val="17"/>
          <w:lang w:eastAsia="tr-TR"/>
        </w:rPr>
        <w:t>13. Diğer hususlar:</w:t>
      </w:r>
    </w:p>
    <w:p w:rsidR="00844886" w:rsidRPr="00844886" w:rsidRDefault="00844886" w:rsidP="00844886">
      <w:pPr>
        <w:spacing w:line="300" w:lineRule="atLeast"/>
        <w:jc w:val="both"/>
        <w:rPr>
          <w:rFonts w:ascii="Verdana" w:eastAsia="Times New Roman" w:hAnsi="Verdana" w:cs="Times New Roman"/>
          <w:color w:val="000000"/>
          <w:sz w:val="15"/>
          <w:szCs w:val="15"/>
          <w:lang w:eastAsia="tr-TR"/>
        </w:rPr>
      </w:pPr>
      <w:r w:rsidRPr="00844886">
        <w:rPr>
          <w:rFonts w:ascii="Verdana" w:eastAsia="Times New Roman" w:hAnsi="Verdana" w:cs="Times New Roman"/>
          <w:b/>
          <w:bCs/>
          <w:color w:val="000000"/>
          <w:sz w:val="17"/>
          <w:lang w:eastAsia="tr-TR"/>
        </w:rPr>
        <w:t>İhalede Uygulanacak Sınır Değer Katsayısı (N) : </w:t>
      </w:r>
      <w:r w:rsidRPr="00844886">
        <w:rPr>
          <w:rFonts w:ascii="Verdana" w:eastAsia="Times New Roman" w:hAnsi="Verdana" w:cs="Times New Roman"/>
          <w:color w:val="000000"/>
          <w:sz w:val="17"/>
          <w:szCs w:val="17"/>
          <w:lang w:eastAsia="tr-TR"/>
        </w:rPr>
        <w:t>1</w:t>
      </w:r>
    </w:p>
    <w:p w:rsidR="004977C5" w:rsidRDefault="004977C5"/>
    <w:sectPr w:rsidR="004977C5" w:rsidSect="004977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44886"/>
    <w:rsid w:val="004977C5"/>
    <w:rsid w:val="008448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44886"/>
    <w:rPr>
      <w:b/>
      <w:bCs/>
    </w:rPr>
  </w:style>
  <w:style w:type="character" w:customStyle="1" w:styleId="apple-converted-space">
    <w:name w:val="apple-converted-space"/>
    <w:basedOn w:val="VarsaylanParagrafYazTipi"/>
    <w:rsid w:val="00844886"/>
  </w:style>
</w:styles>
</file>

<file path=word/webSettings.xml><?xml version="1.0" encoding="utf-8"?>
<w:webSettings xmlns:r="http://schemas.openxmlformats.org/officeDocument/2006/relationships" xmlns:w="http://schemas.openxmlformats.org/wordprocessingml/2006/main">
  <w:divs>
    <w:div w:id="145781223">
      <w:bodyDiv w:val="1"/>
      <w:marLeft w:val="0"/>
      <w:marRight w:val="0"/>
      <w:marTop w:val="0"/>
      <w:marBottom w:val="0"/>
      <w:divBdr>
        <w:top w:val="none" w:sz="0" w:space="0" w:color="auto"/>
        <w:left w:val="none" w:sz="0" w:space="0" w:color="auto"/>
        <w:bottom w:val="none" w:sz="0" w:space="0" w:color="auto"/>
        <w:right w:val="none" w:sz="0" w:space="0" w:color="auto"/>
      </w:divBdr>
      <w:divsChild>
        <w:div w:id="1681081160">
          <w:marLeft w:val="0"/>
          <w:marRight w:val="0"/>
          <w:marTop w:val="0"/>
          <w:marBottom w:val="0"/>
          <w:divBdr>
            <w:top w:val="none" w:sz="0" w:space="0" w:color="auto"/>
            <w:left w:val="none" w:sz="0" w:space="0" w:color="auto"/>
            <w:bottom w:val="none" w:sz="0" w:space="0" w:color="auto"/>
            <w:right w:val="none" w:sz="0" w:space="0" w:color="auto"/>
          </w:divBdr>
        </w:div>
        <w:div w:id="915742922">
          <w:marLeft w:val="0"/>
          <w:marRight w:val="0"/>
          <w:marTop w:val="0"/>
          <w:marBottom w:val="0"/>
          <w:divBdr>
            <w:top w:val="none" w:sz="0" w:space="0" w:color="auto"/>
            <w:left w:val="none" w:sz="0" w:space="0" w:color="auto"/>
            <w:bottom w:val="none" w:sz="0" w:space="0" w:color="auto"/>
            <w:right w:val="none" w:sz="0" w:space="0" w:color="auto"/>
          </w:divBdr>
        </w:div>
        <w:div w:id="1697079642">
          <w:marLeft w:val="0"/>
          <w:marRight w:val="0"/>
          <w:marTop w:val="0"/>
          <w:marBottom w:val="0"/>
          <w:divBdr>
            <w:top w:val="none" w:sz="0" w:space="0" w:color="auto"/>
            <w:left w:val="none" w:sz="0" w:space="0" w:color="auto"/>
            <w:bottom w:val="none" w:sz="0" w:space="0" w:color="auto"/>
            <w:right w:val="none" w:sz="0" w:space="0" w:color="auto"/>
          </w:divBdr>
        </w:div>
        <w:div w:id="1478843684">
          <w:marLeft w:val="0"/>
          <w:marRight w:val="0"/>
          <w:marTop w:val="0"/>
          <w:marBottom w:val="0"/>
          <w:divBdr>
            <w:top w:val="none" w:sz="0" w:space="0" w:color="auto"/>
            <w:left w:val="none" w:sz="0" w:space="0" w:color="auto"/>
            <w:bottom w:val="none" w:sz="0" w:space="0" w:color="auto"/>
            <w:right w:val="none" w:sz="0" w:space="0" w:color="auto"/>
          </w:divBdr>
        </w:div>
        <w:div w:id="1100298703">
          <w:marLeft w:val="0"/>
          <w:marRight w:val="0"/>
          <w:marTop w:val="75"/>
          <w:marBottom w:val="0"/>
          <w:divBdr>
            <w:top w:val="none" w:sz="0" w:space="0" w:color="auto"/>
            <w:left w:val="none" w:sz="0" w:space="0" w:color="auto"/>
            <w:bottom w:val="none" w:sz="0" w:space="0" w:color="auto"/>
            <w:right w:val="none" w:sz="0" w:space="0" w:color="auto"/>
          </w:divBdr>
        </w:div>
        <w:div w:id="1145708651">
          <w:marLeft w:val="0"/>
          <w:marRight w:val="0"/>
          <w:marTop w:val="75"/>
          <w:marBottom w:val="0"/>
          <w:divBdr>
            <w:top w:val="none" w:sz="0" w:space="0" w:color="auto"/>
            <w:left w:val="none" w:sz="0" w:space="0" w:color="auto"/>
            <w:bottom w:val="none" w:sz="0" w:space="0" w:color="auto"/>
            <w:right w:val="none" w:sz="0" w:space="0" w:color="auto"/>
          </w:divBdr>
        </w:div>
        <w:div w:id="739409091">
          <w:marLeft w:val="0"/>
          <w:marRight w:val="0"/>
          <w:marTop w:val="75"/>
          <w:marBottom w:val="0"/>
          <w:divBdr>
            <w:top w:val="none" w:sz="0" w:space="0" w:color="auto"/>
            <w:left w:val="none" w:sz="0" w:space="0" w:color="auto"/>
            <w:bottom w:val="none" w:sz="0" w:space="0" w:color="auto"/>
            <w:right w:val="none" w:sz="0" w:space="0" w:color="auto"/>
          </w:divBdr>
        </w:div>
        <w:div w:id="1681464189">
          <w:marLeft w:val="0"/>
          <w:marRight w:val="0"/>
          <w:marTop w:val="75"/>
          <w:marBottom w:val="0"/>
          <w:divBdr>
            <w:top w:val="none" w:sz="0" w:space="0" w:color="auto"/>
            <w:left w:val="none" w:sz="0" w:space="0" w:color="auto"/>
            <w:bottom w:val="none" w:sz="0" w:space="0" w:color="auto"/>
            <w:right w:val="none" w:sz="0" w:space="0" w:color="auto"/>
          </w:divBdr>
        </w:div>
        <w:div w:id="365955102">
          <w:marLeft w:val="0"/>
          <w:marRight w:val="0"/>
          <w:marTop w:val="75"/>
          <w:marBottom w:val="0"/>
          <w:divBdr>
            <w:top w:val="none" w:sz="0" w:space="0" w:color="auto"/>
            <w:left w:val="none" w:sz="0" w:space="0" w:color="auto"/>
            <w:bottom w:val="none" w:sz="0" w:space="0" w:color="auto"/>
            <w:right w:val="none" w:sz="0" w:space="0" w:color="auto"/>
          </w:divBdr>
        </w:div>
        <w:div w:id="1930890977">
          <w:marLeft w:val="0"/>
          <w:marRight w:val="0"/>
          <w:marTop w:val="75"/>
          <w:marBottom w:val="0"/>
          <w:divBdr>
            <w:top w:val="none" w:sz="0" w:space="0" w:color="auto"/>
            <w:left w:val="none" w:sz="0" w:space="0" w:color="auto"/>
            <w:bottom w:val="none" w:sz="0" w:space="0" w:color="auto"/>
            <w:right w:val="none" w:sz="0" w:space="0" w:color="auto"/>
          </w:divBdr>
        </w:div>
        <w:div w:id="1464152733">
          <w:marLeft w:val="0"/>
          <w:marRight w:val="0"/>
          <w:marTop w:val="75"/>
          <w:marBottom w:val="0"/>
          <w:divBdr>
            <w:top w:val="none" w:sz="0" w:space="0" w:color="auto"/>
            <w:left w:val="none" w:sz="0" w:space="0" w:color="auto"/>
            <w:bottom w:val="none" w:sz="0" w:space="0" w:color="auto"/>
            <w:right w:val="none" w:sz="0" w:space="0" w:color="auto"/>
          </w:divBdr>
        </w:div>
        <w:div w:id="964310269">
          <w:marLeft w:val="0"/>
          <w:marRight w:val="0"/>
          <w:marTop w:val="75"/>
          <w:marBottom w:val="0"/>
          <w:divBdr>
            <w:top w:val="none" w:sz="0" w:space="0" w:color="auto"/>
            <w:left w:val="none" w:sz="0" w:space="0" w:color="auto"/>
            <w:bottom w:val="none" w:sz="0" w:space="0" w:color="auto"/>
            <w:right w:val="none" w:sz="0" w:space="0" w:color="auto"/>
          </w:divBdr>
        </w:div>
        <w:div w:id="1900554922">
          <w:marLeft w:val="0"/>
          <w:marRight w:val="0"/>
          <w:marTop w:val="75"/>
          <w:marBottom w:val="0"/>
          <w:divBdr>
            <w:top w:val="none" w:sz="0" w:space="0" w:color="auto"/>
            <w:left w:val="none" w:sz="0" w:space="0" w:color="auto"/>
            <w:bottom w:val="none" w:sz="0" w:space="0" w:color="auto"/>
            <w:right w:val="none" w:sz="0" w:space="0" w:color="auto"/>
          </w:divBdr>
        </w:div>
        <w:div w:id="1265112047">
          <w:marLeft w:val="0"/>
          <w:marRight w:val="0"/>
          <w:marTop w:val="75"/>
          <w:marBottom w:val="0"/>
          <w:divBdr>
            <w:top w:val="none" w:sz="0" w:space="0" w:color="auto"/>
            <w:left w:val="none" w:sz="0" w:space="0" w:color="auto"/>
            <w:bottom w:val="none" w:sz="0" w:space="0" w:color="auto"/>
            <w:right w:val="none" w:sz="0" w:space="0" w:color="auto"/>
          </w:divBdr>
        </w:div>
        <w:div w:id="1177379004">
          <w:marLeft w:val="0"/>
          <w:marRight w:val="0"/>
          <w:marTop w:val="75"/>
          <w:marBottom w:val="0"/>
          <w:divBdr>
            <w:top w:val="none" w:sz="0" w:space="0" w:color="auto"/>
            <w:left w:val="none" w:sz="0" w:space="0" w:color="auto"/>
            <w:bottom w:val="none" w:sz="0" w:space="0" w:color="auto"/>
            <w:right w:val="none" w:sz="0" w:space="0" w:color="auto"/>
          </w:divBdr>
        </w:div>
        <w:div w:id="617491570">
          <w:marLeft w:val="0"/>
          <w:marRight w:val="0"/>
          <w:marTop w:val="75"/>
          <w:marBottom w:val="0"/>
          <w:divBdr>
            <w:top w:val="none" w:sz="0" w:space="0" w:color="auto"/>
            <w:left w:val="none" w:sz="0" w:space="0" w:color="auto"/>
            <w:bottom w:val="none" w:sz="0" w:space="0" w:color="auto"/>
            <w:right w:val="none" w:sz="0" w:space="0" w:color="auto"/>
          </w:divBdr>
        </w:div>
        <w:div w:id="656498440">
          <w:marLeft w:val="0"/>
          <w:marRight w:val="0"/>
          <w:marTop w:val="75"/>
          <w:marBottom w:val="0"/>
          <w:divBdr>
            <w:top w:val="none" w:sz="0" w:space="0" w:color="auto"/>
            <w:left w:val="none" w:sz="0" w:space="0" w:color="auto"/>
            <w:bottom w:val="none" w:sz="0" w:space="0" w:color="auto"/>
            <w:right w:val="none" w:sz="0" w:space="0" w:color="auto"/>
          </w:divBdr>
        </w:div>
        <w:div w:id="1562910254">
          <w:marLeft w:val="0"/>
          <w:marRight w:val="0"/>
          <w:marTop w:val="75"/>
          <w:marBottom w:val="0"/>
          <w:divBdr>
            <w:top w:val="none" w:sz="0" w:space="0" w:color="auto"/>
            <w:left w:val="none" w:sz="0" w:space="0" w:color="auto"/>
            <w:bottom w:val="none" w:sz="0" w:space="0" w:color="auto"/>
            <w:right w:val="none" w:sz="0" w:space="0" w:color="auto"/>
          </w:divBdr>
        </w:div>
        <w:div w:id="1802571361">
          <w:marLeft w:val="0"/>
          <w:marRight w:val="0"/>
          <w:marTop w:val="75"/>
          <w:marBottom w:val="0"/>
          <w:divBdr>
            <w:top w:val="none" w:sz="0" w:space="0" w:color="auto"/>
            <w:left w:val="none" w:sz="0" w:space="0" w:color="auto"/>
            <w:bottom w:val="none" w:sz="0" w:space="0" w:color="auto"/>
            <w:right w:val="none" w:sz="0" w:space="0" w:color="auto"/>
          </w:divBdr>
        </w:div>
        <w:div w:id="713120056">
          <w:marLeft w:val="0"/>
          <w:marRight w:val="0"/>
          <w:marTop w:val="75"/>
          <w:marBottom w:val="0"/>
          <w:divBdr>
            <w:top w:val="none" w:sz="0" w:space="0" w:color="auto"/>
            <w:left w:val="none" w:sz="0" w:space="0" w:color="auto"/>
            <w:bottom w:val="none" w:sz="0" w:space="0" w:color="auto"/>
            <w:right w:val="none" w:sz="0" w:space="0" w:color="auto"/>
          </w:divBdr>
        </w:div>
        <w:div w:id="1796558774">
          <w:marLeft w:val="0"/>
          <w:marRight w:val="0"/>
          <w:marTop w:val="75"/>
          <w:marBottom w:val="0"/>
          <w:divBdr>
            <w:top w:val="none" w:sz="0" w:space="0" w:color="auto"/>
            <w:left w:val="none" w:sz="0" w:space="0" w:color="auto"/>
            <w:bottom w:val="none" w:sz="0" w:space="0" w:color="auto"/>
            <w:right w:val="none" w:sz="0" w:space="0" w:color="auto"/>
          </w:divBdr>
        </w:div>
        <w:div w:id="738020685">
          <w:marLeft w:val="0"/>
          <w:marRight w:val="0"/>
          <w:marTop w:val="75"/>
          <w:marBottom w:val="0"/>
          <w:divBdr>
            <w:top w:val="none" w:sz="0" w:space="0" w:color="auto"/>
            <w:left w:val="none" w:sz="0" w:space="0" w:color="auto"/>
            <w:bottom w:val="none" w:sz="0" w:space="0" w:color="auto"/>
            <w:right w:val="none" w:sz="0" w:space="0" w:color="auto"/>
          </w:divBdr>
        </w:div>
        <w:div w:id="589654262">
          <w:marLeft w:val="0"/>
          <w:marRight w:val="0"/>
          <w:marTop w:val="75"/>
          <w:marBottom w:val="0"/>
          <w:divBdr>
            <w:top w:val="none" w:sz="0" w:space="0" w:color="auto"/>
            <w:left w:val="none" w:sz="0" w:space="0" w:color="auto"/>
            <w:bottom w:val="none" w:sz="0" w:space="0" w:color="auto"/>
            <w:right w:val="none" w:sz="0" w:space="0" w:color="auto"/>
          </w:divBdr>
        </w:div>
        <w:div w:id="1445612077">
          <w:marLeft w:val="0"/>
          <w:marRight w:val="0"/>
          <w:marTop w:val="75"/>
          <w:marBottom w:val="0"/>
          <w:divBdr>
            <w:top w:val="none" w:sz="0" w:space="0" w:color="auto"/>
            <w:left w:val="none" w:sz="0" w:space="0" w:color="auto"/>
            <w:bottom w:val="none" w:sz="0" w:space="0" w:color="auto"/>
            <w:right w:val="none" w:sz="0" w:space="0" w:color="auto"/>
          </w:divBdr>
        </w:div>
        <w:div w:id="1185244874">
          <w:marLeft w:val="0"/>
          <w:marRight w:val="0"/>
          <w:marTop w:val="75"/>
          <w:marBottom w:val="0"/>
          <w:divBdr>
            <w:top w:val="none" w:sz="0" w:space="0" w:color="auto"/>
            <w:left w:val="none" w:sz="0" w:space="0" w:color="auto"/>
            <w:bottom w:val="none" w:sz="0" w:space="0" w:color="auto"/>
            <w:right w:val="none" w:sz="0" w:space="0" w:color="auto"/>
          </w:divBdr>
        </w:div>
        <w:div w:id="98961038">
          <w:marLeft w:val="0"/>
          <w:marRight w:val="0"/>
          <w:marTop w:val="75"/>
          <w:marBottom w:val="0"/>
          <w:divBdr>
            <w:top w:val="none" w:sz="0" w:space="0" w:color="auto"/>
            <w:left w:val="none" w:sz="0" w:space="0" w:color="auto"/>
            <w:bottom w:val="none" w:sz="0" w:space="0" w:color="auto"/>
            <w:right w:val="none" w:sz="0" w:space="0" w:color="auto"/>
          </w:divBdr>
        </w:div>
        <w:div w:id="2096197754">
          <w:marLeft w:val="0"/>
          <w:marRight w:val="0"/>
          <w:marTop w:val="75"/>
          <w:marBottom w:val="0"/>
          <w:divBdr>
            <w:top w:val="none" w:sz="0" w:space="0" w:color="auto"/>
            <w:left w:val="none" w:sz="0" w:space="0" w:color="auto"/>
            <w:bottom w:val="none" w:sz="0" w:space="0" w:color="auto"/>
            <w:right w:val="none" w:sz="0" w:space="0" w:color="auto"/>
          </w:divBdr>
        </w:div>
        <w:div w:id="554894291">
          <w:marLeft w:val="0"/>
          <w:marRight w:val="0"/>
          <w:marTop w:val="75"/>
          <w:marBottom w:val="0"/>
          <w:divBdr>
            <w:top w:val="none" w:sz="0" w:space="0" w:color="auto"/>
            <w:left w:val="none" w:sz="0" w:space="0" w:color="auto"/>
            <w:bottom w:val="none" w:sz="0" w:space="0" w:color="auto"/>
            <w:right w:val="none" w:sz="0" w:space="0" w:color="auto"/>
          </w:divBdr>
        </w:div>
        <w:div w:id="1336299518">
          <w:marLeft w:val="0"/>
          <w:marRight w:val="0"/>
          <w:marTop w:val="75"/>
          <w:marBottom w:val="0"/>
          <w:divBdr>
            <w:top w:val="none" w:sz="0" w:space="0" w:color="auto"/>
            <w:left w:val="none" w:sz="0" w:space="0" w:color="auto"/>
            <w:bottom w:val="none" w:sz="0" w:space="0" w:color="auto"/>
            <w:right w:val="none" w:sz="0" w:space="0" w:color="auto"/>
          </w:divBdr>
        </w:div>
        <w:div w:id="1739009829">
          <w:marLeft w:val="0"/>
          <w:marRight w:val="0"/>
          <w:marTop w:val="75"/>
          <w:marBottom w:val="0"/>
          <w:divBdr>
            <w:top w:val="none" w:sz="0" w:space="0" w:color="auto"/>
            <w:left w:val="none" w:sz="0" w:space="0" w:color="auto"/>
            <w:bottom w:val="none" w:sz="0" w:space="0" w:color="auto"/>
            <w:right w:val="none" w:sz="0" w:space="0" w:color="auto"/>
          </w:divBdr>
        </w:div>
        <w:div w:id="1133253089">
          <w:marLeft w:val="0"/>
          <w:marRight w:val="0"/>
          <w:marTop w:val="75"/>
          <w:marBottom w:val="0"/>
          <w:divBdr>
            <w:top w:val="none" w:sz="0" w:space="0" w:color="auto"/>
            <w:left w:val="none" w:sz="0" w:space="0" w:color="auto"/>
            <w:bottom w:val="none" w:sz="0" w:space="0" w:color="auto"/>
            <w:right w:val="none" w:sz="0" w:space="0" w:color="auto"/>
          </w:divBdr>
        </w:div>
        <w:div w:id="2055502156">
          <w:marLeft w:val="0"/>
          <w:marRight w:val="0"/>
          <w:marTop w:val="75"/>
          <w:marBottom w:val="0"/>
          <w:divBdr>
            <w:top w:val="none" w:sz="0" w:space="0" w:color="auto"/>
            <w:left w:val="none" w:sz="0" w:space="0" w:color="auto"/>
            <w:bottom w:val="none" w:sz="0" w:space="0" w:color="auto"/>
            <w:right w:val="none" w:sz="0" w:space="0" w:color="auto"/>
          </w:divBdr>
        </w:div>
        <w:div w:id="1946188139">
          <w:marLeft w:val="0"/>
          <w:marRight w:val="0"/>
          <w:marTop w:val="75"/>
          <w:marBottom w:val="0"/>
          <w:divBdr>
            <w:top w:val="none" w:sz="0" w:space="0" w:color="auto"/>
            <w:left w:val="none" w:sz="0" w:space="0" w:color="auto"/>
            <w:bottom w:val="none" w:sz="0" w:space="0" w:color="auto"/>
            <w:right w:val="none" w:sz="0" w:space="0" w:color="auto"/>
          </w:divBdr>
        </w:div>
        <w:div w:id="949358281">
          <w:marLeft w:val="0"/>
          <w:marRight w:val="0"/>
          <w:marTop w:val="75"/>
          <w:marBottom w:val="0"/>
          <w:divBdr>
            <w:top w:val="none" w:sz="0" w:space="0" w:color="auto"/>
            <w:left w:val="none" w:sz="0" w:space="0" w:color="auto"/>
            <w:bottom w:val="none" w:sz="0" w:space="0" w:color="auto"/>
            <w:right w:val="none" w:sz="0" w:space="0" w:color="auto"/>
          </w:divBdr>
        </w:div>
        <w:div w:id="828180663">
          <w:marLeft w:val="0"/>
          <w:marRight w:val="0"/>
          <w:marTop w:val="75"/>
          <w:marBottom w:val="0"/>
          <w:divBdr>
            <w:top w:val="none" w:sz="0" w:space="0" w:color="auto"/>
            <w:left w:val="none" w:sz="0" w:space="0" w:color="auto"/>
            <w:bottom w:val="none" w:sz="0" w:space="0" w:color="auto"/>
            <w:right w:val="none" w:sz="0" w:space="0" w:color="auto"/>
          </w:divBdr>
        </w:div>
        <w:div w:id="1605960982">
          <w:marLeft w:val="0"/>
          <w:marRight w:val="0"/>
          <w:marTop w:val="0"/>
          <w:marBottom w:val="0"/>
          <w:divBdr>
            <w:top w:val="none" w:sz="0" w:space="0" w:color="auto"/>
            <w:left w:val="none" w:sz="0" w:space="0" w:color="auto"/>
            <w:bottom w:val="none" w:sz="0" w:space="0" w:color="auto"/>
            <w:right w:val="none" w:sz="0" w:space="0" w:color="auto"/>
          </w:divBdr>
        </w:div>
        <w:div w:id="637152024">
          <w:marLeft w:val="0"/>
          <w:marRight w:val="0"/>
          <w:marTop w:val="0"/>
          <w:marBottom w:val="0"/>
          <w:divBdr>
            <w:top w:val="none" w:sz="0" w:space="0" w:color="auto"/>
            <w:left w:val="none" w:sz="0" w:space="0" w:color="auto"/>
            <w:bottom w:val="none" w:sz="0" w:space="0" w:color="auto"/>
            <w:right w:val="none" w:sz="0" w:space="0" w:color="auto"/>
          </w:divBdr>
        </w:div>
        <w:div w:id="1489326819">
          <w:marLeft w:val="0"/>
          <w:marRight w:val="0"/>
          <w:marTop w:val="0"/>
          <w:marBottom w:val="0"/>
          <w:divBdr>
            <w:top w:val="none" w:sz="0" w:space="0" w:color="auto"/>
            <w:left w:val="none" w:sz="0" w:space="0" w:color="auto"/>
            <w:bottom w:val="none" w:sz="0" w:space="0" w:color="auto"/>
            <w:right w:val="none" w:sz="0" w:space="0" w:color="auto"/>
          </w:divBdr>
        </w:div>
        <w:div w:id="1923022941">
          <w:marLeft w:val="0"/>
          <w:marRight w:val="0"/>
          <w:marTop w:val="0"/>
          <w:marBottom w:val="0"/>
          <w:divBdr>
            <w:top w:val="none" w:sz="0" w:space="0" w:color="auto"/>
            <w:left w:val="none" w:sz="0" w:space="0" w:color="auto"/>
            <w:bottom w:val="none" w:sz="0" w:space="0" w:color="auto"/>
            <w:right w:val="none" w:sz="0" w:space="0" w:color="auto"/>
          </w:divBdr>
        </w:div>
        <w:div w:id="2112585275">
          <w:marLeft w:val="0"/>
          <w:marRight w:val="0"/>
          <w:marTop w:val="0"/>
          <w:marBottom w:val="0"/>
          <w:divBdr>
            <w:top w:val="none" w:sz="0" w:space="0" w:color="auto"/>
            <w:left w:val="none" w:sz="0" w:space="0" w:color="auto"/>
            <w:bottom w:val="none" w:sz="0" w:space="0" w:color="auto"/>
            <w:right w:val="none" w:sz="0" w:space="0" w:color="auto"/>
          </w:divBdr>
        </w:div>
        <w:div w:id="1091509335">
          <w:marLeft w:val="0"/>
          <w:marRight w:val="0"/>
          <w:marTop w:val="0"/>
          <w:marBottom w:val="0"/>
          <w:divBdr>
            <w:top w:val="none" w:sz="0" w:space="0" w:color="auto"/>
            <w:left w:val="none" w:sz="0" w:space="0" w:color="auto"/>
            <w:bottom w:val="none" w:sz="0" w:space="0" w:color="auto"/>
            <w:right w:val="none" w:sz="0" w:space="0" w:color="auto"/>
          </w:divBdr>
        </w:div>
        <w:div w:id="1286231169">
          <w:marLeft w:val="0"/>
          <w:marRight w:val="0"/>
          <w:marTop w:val="0"/>
          <w:marBottom w:val="0"/>
          <w:divBdr>
            <w:top w:val="none" w:sz="0" w:space="0" w:color="auto"/>
            <w:left w:val="none" w:sz="0" w:space="0" w:color="auto"/>
            <w:bottom w:val="none" w:sz="0" w:space="0" w:color="auto"/>
            <w:right w:val="none" w:sz="0" w:space="0" w:color="auto"/>
          </w:divBdr>
        </w:div>
        <w:div w:id="182785355">
          <w:marLeft w:val="0"/>
          <w:marRight w:val="0"/>
          <w:marTop w:val="0"/>
          <w:marBottom w:val="0"/>
          <w:divBdr>
            <w:top w:val="none" w:sz="0" w:space="0" w:color="auto"/>
            <w:left w:val="none" w:sz="0" w:space="0" w:color="auto"/>
            <w:bottom w:val="none" w:sz="0" w:space="0" w:color="auto"/>
            <w:right w:val="none" w:sz="0" w:space="0" w:color="auto"/>
          </w:divBdr>
        </w:div>
        <w:div w:id="1803423275">
          <w:marLeft w:val="0"/>
          <w:marRight w:val="0"/>
          <w:marTop w:val="0"/>
          <w:marBottom w:val="0"/>
          <w:divBdr>
            <w:top w:val="none" w:sz="0" w:space="0" w:color="auto"/>
            <w:left w:val="none" w:sz="0" w:space="0" w:color="auto"/>
            <w:bottom w:val="none" w:sz="0" w:space="0" w:color="auto"/>
            <w:right w:val="none" w:sz="0" w:space="0" w:color="auto"/>
          </w:divBdr>
        </w:div>
        <w:div w:id="28459085">
          <w:marLeft w:val="0"/>
          <w:marRight w:val="0"/>
          <w:marTop w:val="0"/>
          <w:marBottom w:val="0"/>
          <w:divBdr>
            <w:top w:val="none" w:sz="0" w:space="0" w:color="auto"/>
            <w:left w:val="none" w:sz="0" w:space="0" w:color="auto"/>
            <w:bottom w:val="none" w:sz="0" w:space="0" w:color="auto"/>
            <w:right w:val="none" w:sz="0" w:space="0" w:color="auto"/>
          </w:divBdr>
        </w:div>
        <w:div w:id="1678264927">
          <w:marLeft w:val="0"/>
          <w:marRight w:val="0"/>
          <w:marTop w:val="0"/>
          <w:marBottom w:val="0"/>
          <w:divBdr>
            <w:top w:val="none" w:sz="0" w:space="0" w:color="auto"/>
            <w:left w:val="none" w:sz="0" w:space="0" w:color="auto"/>
            <w:bottom w:val="none" w:sz="0" w:space="0" w:color="auto"/>
            <w:right w:val="none" w:sz="0" w:space="0" w:color="auto"/>
          </w:divBdr>
        </w:div>
        <w:div w:id="828861903">
          <w:marLeft w:val="0"/>
          <w:marRight w:val="0"/>
          <w:marTop w:val="0"/>
          <w:marBottom w:val="0"/>
          <w:divBdr>
            <w:top w:val="none" w:sz="0" w:space="0" w:color="auto"/>
            <w:left w:val="none" w:sz="0" w:space="0" w:color="auto"/>
            <w:bottom w:val="none" w:sz="0" w:space="0" w:color="auto"/>
            <w:right w:val="none" w:sz="0" w:space="0" w:color="auto"/>
          </w:divBdr>
        </w:div>
        <w:div w:id="1338192472">
          <w:marLeft w:val="0"/>
          <w:marRight w:val="0"/>
          <w:marTop w:val="0"/>
          <w:marBottom w:val="200"/>
          <w:divBdr>
            <w:top w:val="none" w:sz="0" w:space="0" w:color="auto"/>
            <w:left w:val="none" w:sz="0" w:space="0" w:color="auto"/>
            <w:bottom w:val="none" w:sz="0" w:space="0" w:color="auto"/>
            <w:right w:val="none" w:sz="0" w:space="0" w:color="auto"/>
          </w:divBdr>
        </w:div>
        <w:div w:id="1881094069">
          <w:marLeft w:val="0"/>
          <w:marRight w:val="0"/>
          <w:marTop w:val="0"/>
          <w:marBottom w:val="0"/>
          <w:divBdr>
            <w:top w:val="none" w:sz="0" w:space="0" w:color="auto"/>
            <w:left w:val="none" w:sz="0" w:space="0" w:color="auto"/>
            <w:bottom w:val="none" w:sz="0" w:space="0" w:color="auto"/>
            <w:right w:val="none" w:sz="0" w:space="0" w:color="auto"/>
          </w:divBdr>
        </w:div>
        <w:div w:id="1175455352">
          <w:marLeft w:val="0"/>
          <w:marRight w:val="0"/>
          <w:marTop w:val="0"/>
          <w:marBottom w:val="0"/>
          <w:divBdr>
            <w:top w:val="none" w:sz="0" w:space="0" w:color="auto"/>
            <w:left w:val="none" w:sz="0" w:space="0" w:color="auto"/>
            <w:bottom w:val="none" w:sz="0" w:space="0" w:color="auto"/>
            <w:right w:val="none" w:sz="0" w:space="0" w:color="auto"/>
          </w:divBdr>
        </w:div>
        <w:div w:id="642197077">
          <w:marLeft w:val="0"/>
          <w:marRight w:val="0"/>
          <w:marTop w:val="0"/>
          <w:marBottom w:val="200"/>
          <w:divBdr>
            <w:top w:val="none" w:sz="0" w:space="0" w:color="auto"/>
            <w:left w:val="none" w:sz="0" w:space="0" w:color="auto"/>
            <w:bottom w:val="none" w:sz="0" w:space="0" w:color="auto"/>
            <w:right w:val="none" w:sz="0" w:space="0" w:color="auto"/>
          </w:divBdr>
        </w:div>
        <w:div w:id="220480024">
          <w:marLeft w:val="0"/>
          <w:marRight w:val="0"/>
          <w:marTop w:val="0"/>
          <w:marBottom w:val="0"/>
          <w:divBdr>
            <w:top w:val="none" w:sz="0" w:space="0" w:color="auto"/>
            <w:left w:val="none" w:sz="0" w:space="0" w:color="auto"/>
            <w:bottom w:val="none" w:sz="0" w:space="0" w:color="auto"/>
            <w:right w:val="none" w:sz="0" w:space="0" w:color="auto"/>
          </w:divBdr>
        </w:div>
        <w:div w:id="848831419">
          <w:marLeft w:val="0"/>
          <w:marRight w:val="0"/>
          <w:marTop w:val="0"/>
          <w:marBottom w:val="0"/>
          <w:divBdr>
            <w:top w:val="none" w:sz="0" w:space="0" w:color="auto"/>
            <w:left w:val="none" w:sz="0" w:space="0" w:color="auto"/>
            <w:bottom w:val="none" w:sz="0" w:space="0" w:color="auto"/>
            <w:right w:val="none" w:sz="0" w:space="0" w:color="auto"/>
          </w:divBdr>
        </w:div>
        <w:div w:id="1124158553">
          <w:marLeft w:val="0"/>
          <w:marRight w:val="0"/>
          <w:marTop w:val="0"/>
          <w:marBottom w:val="0"/>
          <w:divBdr>
            <w:top w:val="none" w:sz="0" w:space="0" w:color="auto"/>
            <w:left w:val="none" w:sz="0" w:space="0" w:color="auto"/>
            <w:bottom w:val="none" w:sz="0" w:space="0" w:color="auto"/>
            <w:right w:val="none" w:sz="0" w:space="0" w:color="auto"/>
          </w:divBdr>
        </w:div>
        <w:div w:id="1261683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2013-02-12T08:00:00Z</dcterms:created>
  <dcterms:modified xsi:type="dcterms:W3CDTF">2013-02-12T08:00:00Z</dcterms:modified>
</cp:coreProperties>
</file>