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7E" w:rsidRDefault="00074E92">
      <w:pPr>
        <w:pStyle w:val="Balk10"/>
        <w:keepNext/>
        <w:keepLines/>
        <w:shd w:val="clear" w:color="auto" w:fill="auto"/>
        <w:spacing w:line="270" w:lineRule="exact"/>
        <w:sectPr w:rsidR="000A6D7E">
          <w:type w:val="continuous"/>
          <w:pgSz w:w="11909" w:h="16834"/>
          <w:pgMar w:top="4734" w:right="869" w:bottom="4715" w:left="1656" w:header="0" w:footer="3" w:gutter="0"/>
          <w:cols w:space="720"/>
          <w:noEndnote/>
          <w:docGrid w:linePitch="360"/>
        </w:sectPr>
      </w:pPr>
      <w:bookmarkStart w:id="0" w:name="bookmark0"/>
      <w:r>
        <w:t>T.C. GÖLCÜK SULH HUKUK MAHKEMESİ SATIŞ MEMURLUĞU NDAN TAŞINMAZ AÇIK ARTIRMA İLANI İLE İLANEN TEBLİĞ</w:t>
      </w:r>
      <w:bookmarkEnd w:id="0"/>
    </w:p>
    <w:p w:rsidR="000A6D7E" w:rsidRDefault="000A6D7E">
      <w:pPr>
        <w:spacing w:line="34" w:lineRule="exact"/>
        <w:rPr>
          <w:sz w:val="3"/>
          <w:szCs w:val="3"/>
        </w:rPr>
      </w:pPr>
    </w:p>
    <w:p w:rsidR="000A6D7E" w:rsidRDefault="000A6D7E">
      <w:pPr>
        <w:rPr>
          <w:sz w:val="2"/>
          <w:szCs w:val="2"/>
        </w:rPr>
        <w:sectPr w:rsidR="000A6D7E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A6D7E" w:rsidRDefault="00074E92">
      <w:pPr>
        <w:pStyle w:val="Gvdemetni0"/>
        <w:shd w:val="clear" w:color="auto" w:fill="auto"/>
        <w:ind w:left="40"/>
      </w:pPr>
      <w:r>
        <w:rPr>
          <w:rStyle w:val="GvdemetniKaln66lek"/>
        </w:rPr>
        <w:lastRenderedPageBreak/>
        <w:t xml:space="preserve">SAYI: </w:t>
      </w:r>
      <w:r>
        <w:t>2012/6 Satış.</w:t>
      </w:r>
    </w:p>
    <w:p w:rsidR="000A6D7E" w:rsidRDefault="00074E92">
      <w:pPr>
        <w:pStyle w:val="Gvdemetni0"/>
        <w:shd w:val="clear" w:color="auto" w:fill="auto"/>
        <w:spacing w:after="180"/>
        <w:ind w:left="40" w:right="60"/>
      </w:pPr>
      <w:r>
        <w:t xml:space="preserve">SATILMASINA KARAR VERİLEN GAYRİMENKULUN CİNSİ, KIYMETİ, EVRAFI Adresi Tebliğ </w:t>
      </w:r>
      <w:r>
        <w:t>edilmeyen, Tüm tebligatların Hanen yapılan, Mehmet ve Rahmiyeden olma, 1962 D.lu, Çanakkale Biga ilçesi, Karabiga Naüfusuna kayıtlı, isviçrede yaşayan Hakan KÖSTENCELiye Açık artırma ilanı</w:t>
      </w:r>
    </w:p>
    <w:p w:rsidR="000A6D7E" w:rsidRDefault="00074E92">
      <w:pPr>
        <w:pStyle w:val="Gvdemetni0"/>
        <w:shd w:val="clear" w:color="auto" w:fill="auto"/>
        <w:ind w:left="40" w:right="60"/>
      </w:pPr>
      <w:r>
        <w:t>Kocaeli ili, Gölcük ilçesi, Merkez Mahallesi, 428,00 mllık, Arsa Ci</w:t>
      </w:r>
      <w:r>
        <w:t>nsindeki, Tapunun 43 Ada, 20 Parselinde kayıtlı bulunan TAŞINMAZ.</w:t>
      </w:r>
    </w:p>
    <w:p w:rsidR="000A6D7E" w:rsidRDefault="00074E92">
      <w:pPr>
        <w:pStyle w:val="Gvdemetni0"/>
        <w:shd w:val="clear" w:color="auto" w:fill="auto"/>
        <w:ind w:left="40" w:right="60"/>
        <w:jc w:val="both"/>
      </w:pPr>
      <w:r>
        <w:rPr>
          <w:rStyle w:val="GvdemetniKaln66lek"/>
        </w:rPr>
        <w:t xml:space="preserve">HALİHAZIR DURUMU: </w:t>
      </w:r>
      <w:r>
        <w:t>Taşınmaz Kocaeli Biiyükşehir Belediyesi ile Gölcük Belediyesinin imar planı sınırlan içinde, Boş arsa durumunda, Gölcük Merkez Mahallesi, Amiralsağlam caddesi, No. 17 Adres</w:t>
      </w:r>
      <w:r>
        <w:t>inde olup, Düz konuma sahip, inşaat yapılmasına elverişli, Gölcük merkezinde olup, Ticari hayatın çok yoğun olarak yaşandığı Amiralsağlam caddesi üzerinde, Batısında Amiralsağlam caddesi, diğer yönlerde komşu parsellere cephelidir. D-130 Karayoluna çok yak</w:t>
      </w:r>
      <w:r>
        <w:t>ın mesafede, bu yolun kuzeyinde kalmaktadır. Taşınmaz, Bankalara, Okul ve hükümet binasına yakın, Kentsel iş Merkezi-Ticaret alanında kalmaktadır. Taşınmazın bulunduğu bölge devlet hizmetlerinden yararlanmakta, ulaşım sorunu yoktur. Taşınmaz bu özellikleri</w:t>
      </w:r>
      <w:r>
        <w:t xml:space="preserve"> ile çok değerli durumdadır. Kıymeti, KDV. Hariç; 1.926.000,00 TL.</w:t>
      </w:r>
    </w:p>
    <w:p w:rsidR="000A6D7E" w:rsidRDefault="00074E92">
      <w:pPr>
        <w:pStyle w:val="Gvdemetni0"/>
        <w:shd w:val="clear" w:color="auto" w:fill="auto"/>
        <w:ind w:left="40" w:right="60"/>
      </w:pPr>
      <w:r>
        <w:rPr>
          <w:rStyle w:val="GvdemetniKaln66lek"/>
        </w:rPr>
        <w:t xml:space="preserve">Taşınnmaz imar Durumu: </w:t>
      </w:r>
      <w:r>
        <w:t>Belediye uygulama imar planı içinde, Blok nizam, % 70 inş. Taban alman yoğunluğu Olup, 3 Kat inşaat yapılmasına müsadeli Kentsel iş merkezi-Ticaret alanındadır.</w:t>
      </w:r>
    </w:p>
    <w:p w:rsidR="000A6D7E" w:rsidRDefault="00074E92">
      <w:pPr>
        <w:pStyle w:val="Gvdemetni0"/>
        <w:numPr>
          <w:ilvl w:val="0"/>
          <w:numId w:val="1"/>
        </w:numPr>
        <w:shd w:val="clear" w:color="auto" w:fill="auto"/>
        <w:tabs>
          <w:tab w:val="left" w:pos="525"/>
        </w:tabs>
        <w:ind w:left="40" w:right="60"/>
        <w:jc w:val="both"/>
      </w:pPr>
      <w:r>
        <w:t>Satış</w:t>
      </w:r>
      <w:r>
        <w:tab/>
        <w:t>18/06/2012 günü, Saat; 10.10-10.10'e kadar Gölcük Sulh Hukuk Mah. Satış Bürosu No. 228 Açık artırma suretiyle yapılacaktır, Bu artırmada tahmin edilen kıymetin % 60'ını ve rüçhanlı alacaklılar varsa ala- cakian mecmuunu ve satış masraflannı geçmek şartı i</w:t>
      </w:r>
      <w:r>
        <w:t>le ihale olunur.</w:t>
      </w:r>
    </w:p>
    <w:p w:rsidR="000A6D7E" w:rsidRDefault="00074E92">
      <w:pPr>
        <w:pStyle w:val="Gvdemetni0"/>
        <w:shd w:val="clear" w:color="auto" w:fill="auto"/>
        <w:ind w:left="40" w:right="60"/>
        <w:jc w:val="both"/>
      </w:pPr>
      <w:r>
        <w:t>Böyle bir bedelle alıcı çıkmazsa en çok artıranın taahhüdü baki kalmak şartiyle 28/06/2012 günü aynı yer ve saatte'de ikinci artırmaya çıkarılacaktır. Bu artırmada da bu miktar elde edilmememişse gayrimenkul en çok artıranın taahhüdü saklı</w:t>
      </w:r>
      <w:r>
        <w:t xml:space="preserve"> kalmak üzere artırma ilanında gösterilen müdet sonunda en çok artırana ihale edilecektir. Şu kadar ki, artırma bedelinin malın tahmin edilen kıymetinin % 40'ını bulması ve satış isteyenin alacağına rüçhanı olan alacaklann toplamından fazla olması ve bundu</w:t>
      </w:r>
      <w:r>
        <w:t>n başka, paraya çevirme ve paylaştırma masraflannı geçmesi lazımdır. Böyle fazla bedelle alıcı çıkmazsa satış talebi düşecektir.</w:t>
      </w:r>
    </w:p>
    <w:p w:rsidR="000A6D7E" w:rsidRDefault="00074E92">
      <w:pPr>
        <w:pStyle w:val="Gvdemetni0"/>
        <w:numPr>
          <w:ilvl w:val="0"/>
          <w:numId w:val="1"/>
        </w:numPr>
        <w:shd w:val="clear" w:color="auto" w:fill="auto"/>
        <w:tabs>
          <w:tab w:val="left" w:pos="170"/>
        </w:tabs>
        <w:spacing w:after="100"/>
        <w:ind w:left="40"/>
      </w:pPr>
      <w:r>
        <w:t>Artırmaya iştirak edeceklerin tahmin edilen kıymetin % 20'si nisbetinde pey akçası veya bu miktar kadar</w:t>
      </w:r>
    </w:p>
    <w:p w:rsidR="000A6D7E" w:rsidRDefault="00074E92">
      <w:pPr>
        <w:pStyle w:val="Gvdemetni20"/>
        <w:shd w:val="clear" w:color="auto" w:fill="auto"/>
        <w:spacing w:before="0" w:line="190" w:lineRule="exact"/>
        <w:ind w:right="60"/>
      </w:pPr>
      <w:r>
        <w:t>Resmi ilanlaı</w:t>
      </w:r>
    </w:p>
    <w:p w:rsidR="000A6D7E" w:rsidRDefault="00074E92">
      <w:pPr>
        <w:pStyle w:val="Gvdemetni0"/>
        <w:shd w:val="clear" w:color="auto" w:fill="auto"/>
        <w:spacing w:line="250" w:lineRule="exact"/>
        <w:ind w:left="40" w:right="20"/>
        <w:jc w:val="both"/>
      </w:pPr>
      <w:r>
        <w:t>Milli bir</w:t>
      </w:r>
      <w:r>
        <w:t xml:space="preserve"> bankanın Kesin teminat mektubunu vermeleri lazımdır. Satış peşin para iledir. Alıcı istediğinde satış </w:t>
      </w:r>
      <w:r>
        <w:lastRenderedPageBreak/>
        <w:t>bedelini ödemek üzere, ihale gününden İbaren 10 günü, KDV.sini ihalenin kesinleşmesinden itibaren 10 günü geçmemek üzere mehil verilebilir, ihale Damga p</w:t>
      </w:r>
      <w:r>
        <w:t>ulu, Tapu alım harcı, Tahliye ve Teslim masraflan ile; % 18 KATMA DEĞER VERGİSİ Alıcıya aittir Tellaliye ücreti Malı satılana ait olup, peşin olarak alıcısı tarafından yatınlacak, satış bedelinden öncelikli olarak iade edilecektir. Birikmiş emlak vergisi d</w:t>
      </w:r>
      <w:r>
        <w:t>e öncelikli olarak satış bedelinden ödenecek.</w:t>
      </w:r>
    </w:p>
    <w:p w:rsidR="000A6D7E" w:rsidRDefault="00074E92">
      <w:pPr>
        <w:pStyle w:val="Gvdemetni0"/>
        <w:numPr>
          <w:ilvl w:val="0"/>
          <w:numId w:val="1"/>
        </w:numPr>
        <w:shd w:val="clear" w:color="auto" w:fill="auto"/>
        <w:tabs>
          <w:tab w:val="left" w:pos="270"/>
        </w:tabs>
        <w:spacing w:line="250" w:lineRule="exact"/>
        <w:ind w:left="40" w:right="20"/>
        <w:jc w:val="both"/>
      </w:pPr>
      <w:r>
        <w:t>ipotek sahibi alacaklılarla diğer ilgililerin (*) bu gayrimenkulün üzerindaki haklannı hususiyle faiz ve mas</w:t>
      </w:r>
      <w:r>
        <w:softHyphen/>
        <w:t>rafa dair olan iddialannı dayanağı belgeler ile on beş gün içinde müdürlüğümüze bildirmeleri lazımdır</w:t>
      </w:r>
      <w:r>
        <w:t>. Aksi tak</w:t>
      </w:r>
      <w:r>
        <w:softHyphen/>
        <w:t>tirde hakları tapu sicili ile sabit olmadıkça paylaşmadan hariç bırakılacaklardır.</w:t>
      </w:r>
    </w:p>
    <w:p w:rsidR="000A6D7E" w:rsidRDefault="00074E92">
      <w:pPr>
        <w:pStyle w:val="Gvdemetni0"/>
        <w:numPr>
          <w:ilvl w:val="0"/>
          <w:numId w:val="1"/>
        </w:numPr>
        <w:shd w:val="clear" w:color="auto" w:fill="auto"/>
        <w:tabs>
          <w:tab w:val="left" w:pos="261"/>
        </w:tabs>
        <w:spacing w:line="250" w:lineRule="exact"/>
        <w:ind w:left="40" w:right="20"/>
        <w:jc w:val="both"/>
      </w:pPr>
      <w:r>
        <w:t>ihaleye katılıp daha sonra ihale bedelini ve KDV. sini yatırmamak suretiyle ihalenin feshine sebep olan tüm alıcılar ve kefileri teklif ettikleri bedel ile son ih</w:t>
      </w:r>
      <w:r>
        <w:t>ale bedeli arasındaki farktan ve diğer zararlardan ve ayrıca temer</w:t>
      </w:r>
      <w:r>
        <w:softHyphen/>
        <w:t>rüt faizinden müteselsilen mesul olacaklardır, ihale farkı ve temerrüt faizi aynca hükme hacet kalmaksızın dairemizce tahsil olunacaktır. Bu fark varsa öncelikle teminat bedelinden alınacak</w:t>
      </w:r>
      <w:r>
        <w:t>tır,</w:t>
      </w:r>
    </w:p>
    <w:p w:rsidR="000A6D7E" w:rsidRDefault="00074E92">
      <w:pPr>
        <w:pStyle w:val="Gvdemetni0"/>
        <w:shd w:val="clear" w:color="auto" w:fill="auto"/>
        <w:spacing w:line="250" w:lineRule="exact"/>
        <w:ind w:left="40" w:right="20"/>
        <w:jc w:val="both"/>
      </w:pPr>
      <w:r>
        <w:t>4/a- ihale bedeli ile KDV.nin yatırılmaması üzerine; İİK.nun 133. maddesi gereğince ihale karan kaldınlarak, kendisinden evvel en yüksek pey ileri süren, sürdüğü pey İİK.nun 129/1. maddesine uygun bulunması halinde, sürdüğü pey üzerine kendisine muhtı</w:t>
      </w:r>
      <w:r>
        <w:t>ra ile teklif edilecek, razı olunsa ona ihale edilecektir. Aksi taktirde Gayrimenkul yeniden ihaleye çıkartılacak, satış ilanı ilgililere tebliğ edilmeksizin yapılacak ilanla yetinilerek yeniden ihaleye çıkartılacaktır. Bu artırmada teklifin İİK.129/2, mad</w:t>
      </w:r>
      <w:r>
        <w:t>desine uyması şartiyle Gayrimenkul en çok artırana ihale olunacaktır.</w:t>
      </w:r>
    </w:p>
    <w:p w:rsidR="000A6D7E" w:rsidRDefault="00074E92">
      <w:pPr>
        <w:pStyle w:val="Gvdemetni0"/>
        <w:numPr>
          <w:ilvl w:val="0"/>
          <w:numId w:val="1"/>
        </w:numPr>
        <w:shd w:val="clear" w:color="auto" w:fill="auto"/>
        <w:tabs>
          <w:tab w:val="left" w:pos="270"/>
        </w:tabs>
        <w:spacing w:line="250" w:lineRule="exact"/>
        <w:ind w:left="40" w:right="20"/>
        <w:jc w:val="both"/>
      </w:pPr>
      <w:r>
        <w:t>Şartname, ilan tarihinden itibaren herkesin görebilmesi için dairede açık olup, masrafı verildiği taktirde istiyen alıcıya bir örneği gönderilebilir.</w:t>
      </w:r>
    </w:p>
    <w:p w:rsidR="000A6D7E" w:rsidRDefault="00074E92">
      <w:pPr>
        <w:pStyle w:val="Gvdemetni0"/>
        <w:shd w:val="clear" w:color="auto" w:fill="auto"/>
        <w:spacing w:line="250" w:lineRule="exact"/>
        <w:ind w:left="40" w:right="20"/>
        <w:jc w:val="both"/>
      </w:pPr>
      <w:r>
        <w:t>5/a -İİK.nun 127. maddesi gereğince;</w:t>
      </w:r>
      <w:r>
        <w:t xml:space="preserve"> Adresleri Tapuca bildirilmeyen ilgililere ile tebligat çıkanlıpta tebliğ edilmeyenlere; iş bu açık artırma ilanı Tebliğ yerine kaim olmak üzere; Hanen TEBLİĞ OLUNUR.</w:t>
      </w:r>
    </w:p>
    <w:p w:rsidR="000A6D7E" w:rsidRDefault="00074E92">
      <w:pPr>
        <w:pStyle w:val="Gvdemetni0"/>
        <w:numPr>
          <w:ilvl w:val="0"/>
          <w:numId w:val="1"/>
        </w:numPr>
        <w:shd w:val="clear" w:color="auto" w:fill="auto"/>
        <w:tabs>
          <w:tab w:val="left" w:pos="261"/>
        </w:tabs>
        <w:spacing w:line="250" w:lineRule="exact"/>
        <w:ind w:left="40" w:right="20"/>
        <w:jc w:val="both"/>
      </w:pPr>
      <w:r>
        <w:t>Satışa iştirak edenlerin şartnameyi görmüş ve münderecatını kabul etmiş sayılacaklan başk</w:t>
      </w:r>
      <w:r>
        <w:t>a bilgi almak istiyenlerin 2012/6 Satış. Sayılı dosya numarasıyla icra Müdürlüğüne Başvurmalan ilan olunur.</w:t>
      </w:r>
    </w:p>
    <w:p w:rsidR="000A6D7E" w:rsidRDefault="00074E92">
      <w:pPr>
        <w:pStyle w:val="Gvdemetni30"/>
        <w:shd w:val="clear" w:color="auto" w:fill="auto"/>
        <w:ind w:right="20"/>
      </w:pPr>
      <w:r>
        <w:rPr>
          <w:lang w:val="tr-TR"/>
        </w:rPr>
        <w:t xml:space="preserve">BASIN: 30995 </w:t>
      </w:r>
      <w:r>
        <w:t>(</w:t>
      </w:r>
      <w:hyperlink r:id="rId7" w:history="1">
        <w:r>
          <w:rPr>
            <w:rStyle w:val="Kpr"/>
          </w:rPr>
          <w:t>www.bik.gov.tr</w:t>
        </w:r>
      </w:hyperlink>
      <w:r>
        <w:t>)</w:t>
      </w:r>
    </w:p>
    <w:sectPr w:rsidR="000A6D7E" w:rsidSect="000A6D7E">
      <w:type w:val="continuous"/>
      <w:pgSz w:w="11909" w:h="16834"/>
      <w:pgMar w:top="4734" w:right="495" w:bottom="4715" w:left="711" w:header="0" w:footer="3" w:gutter="0"/>
      <w:cols w:num="2" w:sep="1" w:space="33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E92" w:rsidRDefault="00074E92" w:rsidP="000A6D7E">
      <w:r>
        <w:separator/>
      </w:r>
    </w:p>
  </w:endnote>
  <w:endnote w:type="continuationSeparator" w:id="1">
    <w:p w:rsidR="00074E92" w:rsidRDefault="00074E92" w:rsidP="000A6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E92" w:rsidRDefault="00074E92"/>
  </w:footnote>
  <w:footnote w:type="continuationSeparator" w:id="1">
    <w:p w:rsidR="00074E92" w:rsidRDefault="00074E9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E7320"/>
    <w:multiLevelType w:val="multilevel"/>
    <w:tmpl w:val="99920A02"/>
    <w:lvl w:ilvl="0">
      <w:start w:val="1"/>
      <w:numFmt w:val="decimal"/>
      <w:lvlText w:val="%1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8"/>
        <w:szCs w:val="18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A6D7E"/>
    <w:rsid w:val="00074E92"/>
    <w:rsid w:val="000A6D7E"/>
    <w:rsid w:val="005F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A6D7E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A6D7E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0A6D7E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w w:val="70"/>
      <w:sz w:val="27"/>
      <w:szCs w:val="27"/>
      <w:u w:val="none"/>
    </w:rPr>
  </w:style>
  <w:style w:type="character" w:customStyle="1" w:styleId="Gvdemetni">
    <w:name w:val="Gövde metni_"/>
    <w:basedOn w:val="VarsaylanParagrafYazTipi"/>
    <w:link w:val="Gvdemetni0"/>
    <w:rsid w:val="000A6D7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70"/>
      <w:sz w:val="18"/>
      <w:szCs w:val="18"/>
      <w:u w:val="none"/>
    </w:rPr>
  </w:style>
  <w:style w:type="character" w:customStyle="1" w:styleId="GvdemetniKaln66lek">
    <w:name w:val="Gövde metni + Kalın;66% ölçek"/>
    <w:basedOn w:val="Gvdemetni"/>
    <w:rsid w:val="000A6D7E"/>
    <w:rPr>
      <w:b/>
      <w:bCs/>
      <w:color w:val="000000"/>
      <w:spacing w:val="0"/>
      <w:w w:val="66"/>
      <w:position w:val="0"/>
      <w:lang w:val="tr-TR"/>
    </w:rPr>
  </w:style>
  <w:style w:type="character" w:customStyle="1" w:styleId="Gvdemetni2">
    <w:name w:val="Gövde metni (2)_"/>
    <w:basedOn w:val="VarsaylanParagrafYazTipi"/>
    <w:link w:val="Gvdemetni20"/>
    <w:rsid w:val="000A6D7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Gvdemetni3">
    <w:name w:val="Gövde metni (3)_"/>
    <w:basedOn w:val="VarsaylanParagrafYazTipi"/>
    <w:link w:val="Gvdemetni30"/>
    <w:rsid w:val="000A6D7E"/>
    <w:rPr>
      <w:rFonts w:ascii="Arial Narrow" w:eastAsia="Arial Narrow" w:hAnsi="Arial Narrow" w:cs="Arial Narrow"/>
      <w:b/>
      <w:bCs/>
      <w:i w:val="0"/>
      <w:iCs w:val="0"/>
      <w:smallCaps w:val="0"/>
      <w:strike w:val="0"/>
      <w:w w:val="66"/>
      <w:sz w:val="18"/>
      <w:szCs w:val="18"/>
      <w:u w:val="none"/>
      <w:lang w:val="en-US"/>
    </w:rPr>
  </w:style>
  <w:style w:type="paragraph" w:customStyle="1" w:styleId="Balk10">
    <w:name w:val="Başlık #1"/>
    <w:basedOn w:val="Normal"/>
    <w:link w:val="Balk1"/>
    <w:rsid w:val="000A6D7E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spacing w:val="-10"/>
      <w:w w:val="70"/>
      <w:sz w:val="27"/>
      <w:szCs w:val="27"/>
    </w:rPr>
  </w:style>
  <w:style w:type="paragraph" w:customStyle="1" w:styleId="Gvdemetni0">
    <w:name w:val="Gövde metni"/>
    <w:basedOn w:val="Normal"/>
    <w:link w:val="Gvdemetni"/>
    <w:rsid w:val="000A6D7E"/>
    <w:pPr>
      <w:shd w:val="clear" w:color="auto" w:fill="FFFFFF"/>
      <w:spacing w:line="240" w:lineRule="exact"/>
    </w:pPr>
    <w:rPr>
      <w:rFonts w:ascii="Arial Narrow" w:eastAsia="Arial Narrow" w:hAnsi="Arial Narrow" w:cs="Arial Narrow"/>
      <w:w w:val="70"/>
      <w:sz w:val="18"/>
      <w:szCs w:val="18"/>
    </w:rPr>
  </w:style>
  <w:style w:type="paragraph" w:customStyle="1" w:styleId="Gvdemetni20">
    <w:name w:val="Gövde metni (2)"/>
    <w:basedOn w:val="Normal"/>
    <w:link w:val="Gvdemetni2"/>
    <w:rsid w:val="000A6D7E"/>
    <w:pPr>
      <w:shd w:val="clear" w:color="auto" w:fill="FFFFFF"/>
      <w:spacing w:before="60" w:line="0" w:lineRule="atLeast"/>
      <w:jc w:val="right"/>
    </w:pPr>
    <w:rPr>
      <w:rFonts w:ascii="Arial Narrow" w:eastAsia="Arial Narrow" w:hAnsi="Arial Narrow" w:cs="Arial Narrow"/>
      <w:spacing w:val="-10"/>
      <w:sz w:val="19"/>
      <w:szCs w:val="19"/>
    </w:rPr>
  </w:style>
  <w:style w:type="paragraph" w:customStyle="1" w:styleId="Gvdemetni30">
    <w:name w:val="Gövde metni (3)"/>
    <w:basedOn w:val="Normal"/>
    <w:link w:val="Gvdemetni3"/>
    <w:rsid w:val="000A6D7E"/>
    <w:pPr>
      <w:shd w:val="clear" w:color="auto" w:fill="FFFFFF"/>
      <w:spacing w:line="250" w:lineRule="exact"/>
      <w:jc w:val="right"/>
    </w:pPr>
    <w:rPr>
      <w:rFonts w:ascii="Arial Narrow" w:eastAsia="Arial Narrow" w:hAnsi="Arial Narrow" w:cs="Arial Narrow"/>
      <w:b/>
      <w:bCs/>
      <w:w w:val="66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2012-05-17T10:08:00Z</dcterms:created>
  <dcterms:modified xsi:type="dcterms:W3CDTF">2012-05-17T10:09:00Z</dcterms:modified>
</cp:coreProperties>
</file>