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3" w:rsidRPr="003A5AA3" w:rsidRDefault="003A5AA3" w:rsidP="003A5AA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AÇIK TEKLİF (ARTIRMA) USULÜ İLE ARSA SATILACAKTIR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Erzurum Büyükşehir Belediye Başkanlığından: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Mülkiyeti Erzurum Büyükşehir Belediyesine ait aşağıda ada, parsel ve mesahaları belirtilen arsaların satış işi ihalesi</w:t>
      </w:r>
      <w:r w:rsidRPr="003A5AA3">
        <w:rPr>
          <w:rFonts w:ascii="Times New Roman" w:eastAsia="Times New Roman" w:hAnsi="Times New Roman" w:cs="Times New Roman"/>
          <w:color w:val="000000"/>
          <w:sz w:val="18"/>
        </w:rPr>
        <w:t> 19/06/2012 </w:t>
      </w: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Salı günü saat 14.00 da 2886 Sayılı Devlet İhale Kanununun 45. maddesine istinaden açık (artırma) teklif usulü ile Büyükşehir Belediyesi Encümen Salonunda ayrı ayrı yapılacaktır.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İhaleye katılabilmek için aşağıdaki belgelerin verilmesi gerekmektedir.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</w:rPr>
        <w:t>a</w:t>
      </w: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. Tebligat İçin adres göstermesi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</w:rPr>
        <w:t>b</w:t>
      </w: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. Noter tasdikli imza</w:t>
      </w:r>
      <w:r w:rsidRPr="003A5AA3">
        <w:rPr>
          <w:rFonts w:ascii="Times New Roman" w:eastAsia="Times New Roman" w:hAnsi="Times New Roman" w:cs="Times New Roman"/>
          <w:color w:val="000000"/>
          <w:sz w:val="18"/>
        </w:rPr>
        <w:t> sirküsü</w:t>
      </w: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</w:rPr>
        <w:t>c</w:t>
      </w: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. İstekliler adına vekaleten iştirak ediliyor ise, istekli adına teklifte bulunacak kişilerin vekaletnameleri ile vekaleten iştirak edenlerin noter tasdikli imza sirküleri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</w:rPr>
        <w:t>d</w:t>
      </w: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. Ortak girişim olması halinde noter tasdikli ortak girişim beyannamesi (ihalenin üzerinde kalması halinde ortaklarca noterden imzalanmış ortaklık sözleşmesi)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</w:rPr>
        <w:t>e</w:t>
      </w: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. Büyükşehir Belediyesi Etüt ve Projeler Dairesi Başkanlığından alınacak (Emlak, ESKİ, Hukuk vb.) ilişiksiz belgesi,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</w:rPr>
        <w:t>f</w:t>
      </w: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. Erzurum Büyükşehir Belediyesi adına alınmış geçici teminata ait alındı veya banka teminat mektubu,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</w:rPr>
        <w:t>g. </w:t>
      </w: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Şartname bedelinin yatırıldığını gösterir makbuz ve şartnamenin okunup kabul edildiğini belirten dilekçe.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İhale bedelinin % 25'i ihale onayını müteakip 15 gün içerisinde her türlü yasal harç ve vergisi ile birlikte yatırılır, geri kalan % 75'si ise 6 eşit taksitte ödenir. Her türlü harç ve vergiler fiyatlarımıza</w:t>
      </w:r>
      <w:r w:rsidRPr="003A5AA3">
        <w:rPr>
          <w:rFonts w:ascii="Times New Roman" w:eastAsia="Times New Roman" w:hAnsi="Times New Roman" w:cs="Times New Roman"/>
          <w:color w:val="000000"/>
          <w:sz w:val="18"/>
        </w:rPr>
        <w:t> dahil </w:t>
      </w: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değildir.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İdaremiz ihaleyi yapıp yapmamakta ve uygun teklifi tespit etmekte serbesttir.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Telgraf veya faksla yapılacak müracaatlar ve postada meydana gelebilecek gecikmeler kabul edilmeyecektir.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Şartnameleri Etüt ve Projeler Dairesi Başkanlığı, İhale Şube Müdürlüğünden mesai saatleri içerisinde ücretsiz görebilir, ihaleye katılmak isteyenler aşağıda belirtilen bedeller karşılığında şartname almak zorundadır.</w:t>
      </w:r>
    </w:p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DADAŞKENT, KAYAKYOLU VE YILDIZKENTTE BULUNAN ARSALAR</w:t>
      </w:r>
    </w:p>
    <w:p w:rsidR="003A5AA3" w:rsidRPr="003A5AA3" w:rsidRDefault="003A5AA3" w:rsidP="003A5AA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11340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851"/>
        <w:gridCol w:w="709"/>
        <w:gridCol w:w="708"/>
        <w:gridCol w:w="993"/>
        <w:gridCol w:w="1275"/>
        <w:gridCol w:w="993"/>
        <w:gridCol w:w="1134"/>
        <w:gridCol w:w="1417"/>
        <w:gridCol w:w="1276"/>
        <w:gridCol w:w="992"/>
        <w:gridCol w:w="992"/>
      </w:tblGrid>
      <w:tr w:rsidR="003A5AA3" w:rsidRPr="003A5AA3" w:rsidTr="003A5AA3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Sıra No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Ada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Parsel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Mesahsı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Mevki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Niteliği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Kat Adedi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m2 birim Fiyatı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Toplam B.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Ş. Bedeli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358.75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35875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1076.25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3816.75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381675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11450.25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491.94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49194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1475.82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208.91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626.73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548.27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54827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1644.81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406.19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81238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2437.14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364.45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2186.7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364.27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72854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2185.62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362.86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72572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2177.16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361.83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72366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2170.98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378.62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75724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2271.72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442.21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88442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2653.26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432.68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86536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2596.08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430.71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86142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2584.26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429.51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85902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2577.06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450.69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90138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2704.14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5859.1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1171820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35154.6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96800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91200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548.01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54801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1644.03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5153.11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Yıldızkent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2061244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61837.32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1023.46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310876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9326.279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1199.63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364387.6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10931.63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1179.4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358242.8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10747.28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1224.28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371875.1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11156.25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1277.26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387967.7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11639.03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1066.68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324004.1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9720.122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1212.6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368327.3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11049.82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1334.06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405220.7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12156.62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1228.5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373156.9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11194.71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1120.05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340215.2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10206.46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1056.09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320787.3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9623.62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Kayakyolu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858093.8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25742.81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648.89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Dadaşkent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129778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3893.34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3A5AA3" w:rsidRPr="003A5AA3" w:rsidTr="003A5AA3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63.87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Gez Mah.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Konut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3832.2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114.966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5AA3" w:rsidRPr="003A5AA3" w:rsidRDefault="003A5AA3" w:rsidP="003A5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A3"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</w:tbl>
    <w:p w:rsidR="003A5AA3" w:rsidRPr="003A5AA3" w:rsidRDefault="003A5AA3" w:rsidP="003A5A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3A5AA3" w:rsidRPr="003A5AA3" w:rsidRDefault="003A5AA3" w:rsidP="003A5AA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5AA3">
        <w:rPr>
          <w:rFonts w:ascii="Times New Roman" w:eastAsia="Times New Roman" w:hAnsi="Times New Roman" w:cs="Times New Roman"/>
          <w:color w:val="000000"/>
          <w:sz w:val="18"/>
          <w:szCs w:val="18"/>
        </w:rPr>
        <w:t>4585/1-1</w:t>
      </w:r>
    </w:p>
    <w:p w:rsidR="00570D46" w:rsidRDefault="00570D46"/>
    <w:sectPr w:rsidR="0057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3A5AA3"/>
    <w:rsid w:val="003A5AA3"/>
    <w:rsid w:val="0057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A5AA3"/>
  </w:style>
  <w:style w:type="character" w:customStyle="1" w:styleId="grame">
    <w:name w:val="grame"/>
    <w:basedOn w:val="VarsaylanParagrafYazTipi"/>
    <w:rsid w:val="003A5AA3"/>
  </w:style>
  <w:style w:type="character" w:customStyle="1" w:styleId="spelle">
    <w:name w:val="spelle"/>
    <w:basedOn w:val="VarsaylanParagrafYazTipi"/>
    <w:rsid w:val="003A5AA3"/>
  </w:style>
  <w:style w:type="paragraph" w:customStyle="1" w:styleId="style8">
    <w:name w:val="style8"/>
    <w:basedOn w:val="Normal"/>
    <w:rsid w:val="003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VarsaylanParagrafYazTipi"/>
    <w:rsid w:val="003A5AA3"/>
  </w:style>
  <w:style w:type="paragraph" w:customStyle="1" w:styleId="style7">
    <w:name w:val="style7"/>
    <w:basedOn w:val="Normal"/>
    <w:rsid w:val="003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VarsaylanParagrafYazTipi"/>
    <w:rsid w:val="003A5AA3"/>
  </w:style>
  <w:style w:type="paragraph" w:customStyle="1" w:styleId="style6">
    <w:name w:val="style6"/>
    <w:basedOn w:val="Normal"/>
    <w:rsid w:val="003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VarsaylanParagrafYazTipi"/>
    <w:rsid w:val="003A5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2012-06-07T05:39:00Z</dcterms:created>
  <dcterms:modified xsi:type="dcterms:W3CDTF">2012-06-07T05:39:00Z</dcterms:modified>
</cp:coreProperties>
</file>