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333" w:rsidRPr="00EF3333" w:rsidRDefault="00EF3333" w:rsidP="00EF3333">
      <w:pPr>
        <w:spacing w:line="240" w:lineRule="auto"/>
        <w:jc w:val="center"/>
        <w:rPr>
          <w:rFonts w:ascii="Verdana" w:eastAsia="Times New Roman" w:hAnsi="Verdana" w:cs="Times New Roman"/>
          <w:color w:val="000000"/>
          <w:sz w:val="13"/>
          <w:szCs w:val="13"/>
          <w:lang w:eastAsia="tr-TR"/>
        </w:rPr>
      </w:pPr>
      <w:bookmarkStart w:id="0" w:name="_GoBack"/>
      <w:r w:rsidRPr="00EF3333">
        <w:rPr>
          <w:rFonts w:ascii="Verdana" w:eastAsia="Times New Roman" w:hAnsi="Verdana" w:cs="Times New Roman"/>
          <w:b/>
          <w:bCs/>
          <w:color w:val="000000"/>
          <w:sz w:val="13"/>
          <w:lang w:eastAsia="tr-TR"/>
        </w:rPr>
        <w:t>T.C.</w:t>
      </w:r>
      <w:bookmarkEnd w:id="0"/>
    </w:p>
    <w:p w:rsidR="00EF3333" w:rsidRPr="00EF3333" w:rsidRDefault="00EF3333" w:rsidP="00EF3333">
      <w:pPr>
        <w:spacing w:line="240" w:lineRule="auto"/>
        <w:jc w:val="center"/>
        <w:rPr>
          <w:rFonts w:ascii="Verdana" w:eastAsia="Times New Roman" w:hAnsi="Verdana" w:cs="Times New Roman"/>
          <w:color w:val="000000"/>
          <w:sz w:val="13"/>
          <w:szCs w:val="13"/>
          <w:lang w:eastAsia="tr-TR"/>
        </w:rPr>
      </w:pPr>
      <w:r w:rsidRPr="00EF3333">
        <w:rPr>
          <w:rFonts w:ascii="Verdana" w:eastAsia="Times New Roman" w:hAnsi="Verdana" w:cs="Times New Roman"/>
          <w:b/>
          <w:bCs/>
          <w:color w:val="000000"/>
          <w:sz w:val="13"/>
          <w:lang w:eastAsia="tr-TR"/>
        </w:rPr>
        <w:t>BAŞBAKANLIK</w:t>
      </w:r>
    </w:p>
    <w:p w:rsidR="00EF3333" w:rsidRPr="00EF3333" w:rsidRDefault="00EF3333" w:rsidP="00EF3333">
      <w:pPr>
        <w:spacing w:line="240" w:lineRule="auto"/>
        <w:jc w:val="center"/>
        <w:rPr>
          <w:rFonts w:ascii="Verdana" w:eastAsia="Times New Roman" w:hAnsi="Verdana" w:cs="Times New Roman"/>
          <w:color w:val="000000"/>
          <w:sz w:val="13"/>
          <w:szCs w:val="13"/>
          <w:lang w:eastAsia="tr-TR"/>
        </w:rPr>
      </w:pPr>
      <w:r w:rsidRPr="00EF3333">
        <w:rPr>
          <w:rFonts w:ascii="Verdana" w:eastAsia="Times New Roman" w:hAnsi="Verdana" w:cs="Times New Roman"/>
          <w:b/>
          <w:bCs/>
          <w:color w:val="000000"/>
          <w:sz w:val="13"/>
          <w:lang w:eastAsia="tr-TR"/>
        </w:rPr>
        <w:t>TOPLU KONUT İDARESİ BAŞKANLIĞI</w:t>
      </w:r>
    </w:p>
    <w:p w:rsidR="00EF3333" w:rsidRPr="00EF3333" w:rsidRDefault="00EF3333" w:rsidP="00EF3333">
      <w:pPr>
        <w:spacing w:line="240" w:lineRule="auto"/>
        <w:jc w:val="center"/>
        <w:rPr>
          <w:rFonts w:ascii="Verdana" w:eastAsia="Times New Roman" w:hAnsi="Verdana" w:cs="Times New Roman"/>
          <w:color w:val="000000"/>
          <w:sz w:val="13"/>
          <w:szCs w:val="13"/>
          <w:lang w:eastAsia="tr-TR"/>
        </w:rPr>
      </w:pPr>
      <w:r w:rsidRPr="00EF3333">
        <w:rPr>
          <w:rFonts w:ascii="Verdana" w:eastAsia="Times New Roman" w:hAnsi="Verdana" w:cs="Times New Roman"/>
          <w:b/>
          <w:bCs/>
          <w:color w:val="000000"/>
          <w:sz w:val="13"/>
          <w:lang w:eastAsia="tr-TR"/>
        </w:rPr>
        <w:t>(TOKİ)</w:t>
      </w:r>
    </w:p>
    <w:p w:rsidR="00EF3333" w:rsidRPr="00EF3333" w:rsidRDefault="00EF3333" w:rsidP="00EF3333">
      <w:pPr>
        <w:spacing w:after="45" w:line="240" w:lineRule="auto"/>
        <w:jc w:val="center"/>
        <w:rPr>
          <w:rFonts w:ascii="Verdana" w:eastAsia="Times New Roman" w:hAnsi="Verdana" w:cs="Times New Roman"/>
          <w:color w:val="000000"/>
          <w:sz w:val="13"/>
          <w:szCs w:val="13"/>
          <w:lang w:eastAsia="tr-TR"/>
        </w:rPr>
      </w:pPr>
      <w:r w:rsidRPr="00EF3333">
        <w:rPr>
          <w:rFonts w:ascii="Verdana" w:eastAsia="Times New Roman" w:hAnsi="Verdana" w:cs="Times New Roman"/>
          <w:b/>
          <w:bCs/>
          <w:color w:val="000000"/>
          <w:sz w:val="13"/>
          <w:lang w:eastAsia="tr-TR"/>
        </w:rPr>
        <w:t>İHALE İLANI</w:t>
      </w:r>
    </w:p>
    <w:p w:rsidR="00EF3333" w:rsidRPr="00EF3333" w:rsidRDefault="00EF3333" w:rsidP="00EF3333">
      <w:pPr>
        <w:spacing w:line="240" w:lineRule="auto"/>
        <w:rPr>
          <w:rFonts w:ascii="Verdana" w:eastAsia="Times New Roman" w:hAnsi="Verdana" w:cs="Times New Roman"/>
          <w:color w:val="000000"/>
          <w:sz w:val="13"/>
          <w:szCs w:val="13"/>
          <w:lang w:eastAsia="tr-TR"/>
        </w:rPr>
      </w:pPr>
      <w:r w:rsidRPr="00EF3333">
        <w:rPr>
          <w:rFonts w:ascii="Verdana" w:eastAsia="Times New Roman" w:hAnsi="Verdana" w:cs="Times New Roman"/>
          <w:color w:val="000000"/>
          <w:sz w:val="13"/>
          <w:szCs w:val="13"/>
          <w:lang w:eastAsia="tr-TR"/>
        </w:rPr>
        <w:t> </w:t>
      </w:r>
    </w:p>
    <w:tbl>
      <w:tblPr>
        <w:tblW w:w="5000" w:type="pct"/>
        <w:tblCellSpacing w:w="0" w:type="dxa"/>
        <w:shd w:val="clear" w:color="auto" w:fill="FFFFFF"/>
        <w:tblCellMar>
          <w:left w:w="0" w:type="dxa"/>
          <w:right w:w="0" w:type="dxa"/>
        </w:tblCellMar>
        <w:tblLook w:val="04A0"/>
      </w:tblPr>
      <w:tblGrid>
        <w:gridCol w:w="9072"/>
      </w:tblGrid>
      <w:tr w:rsidR="00EF3333" w:rsidRPr="00EF3333" w:rsidTr="00EF3333">
        <w:trPr>
          <w:tblCellSpacing w:w="0" w:type="dxa"/>
        </w:trPr>
        <w:tc>
          <w:tcPr>
            <w:tcW w:w="0" w:type="auto"/>
            <w:tcBorders>
              <w:top w:val="nil"/>
              <w:left w:val="nil"/>
              <w:bottom w:val="nil"/>
              <w:right w:val="nil"/>
            </w:tcBorders>
            <w:shd w:val="clear" w:color="auto" w:fill="auto"/>
            <w:hideMark/>
          </w:tcPr>
          <w:p w:rsidR="00EF3333" w:rsidRPr="00EF3333" w:rsidRDefault="00EF3333" w:rsidP="00EF3333">
            <w:pPr>
              <w:spacing w:after="0" w:line="300" w:lineRule="atLeast"/>
              <w:rPr>
                <w:rFonts w:ascii="Verdana" w:eastAsia="Times New Roman" w:hAnsi="Verdana" w:cs="Times New Roman"/>
                <w:color w:val="000000"/>
                <w:sz w:val="13"/>
                <w:szCs w:val="13"/>
                <w:lang w:eastAsia="tr-TR"/>
              </w:rPr>
            </w:pPr>
            <w:r w:rsidRPr="00EF3333">
              <w:rPr>
                <w:rFonts w:ascii="Verdana" w:eastAsia="Times New Roman" w:hAnsi="Verdana" w:cs="Times New Roman"/>
                <w:b/>
                <w:bCs/>
                <w:color w:val="000000"/>
                <w:sz w:val="17"/>
                <w:lang w:eastAsia="tr-TR"/>
              </w:rPr>
              <w:t>HİZMET BİNASI İLE ALTYAPI VE ÇEVRE DÜZENLEME İNŞAATI YAPTIRILACAKTIR</w:t>
            </w:r>
          </w:p>
          <w:p w:rsidR="00EF3333" w:rsidRPr="00EF3333" w:rsidRDefault="00EF3333" w:rsidP="00EF3333">
            <w:pPr>
              <w:spacing w:after="0" w:line="300" w:lineRule="atLeast"/>
              <w:rPr>
                <w:rFonts w:ascii="Verdana" w:eastAsia="Times New Roman" w:hAnsi="Verdana" w:cs="Times New Roman"/>
                <w:color w:val="000000"/>
                <w:sz w:val="13"/>
                <w:szCs w:val="13"/>
                <w:lang w:eastAsia="tr-TR"/>
              </w:rPr>
            </w:pPr>
            <w:r w:rsidRPr="00EF3333">
              <w:rPr>
                <w:rFonts w:ascii="Verdana" w:eastAsia="Times New Roman" w:hAnsi="Verdana" w:cs="Times New Roman"/>
                <w:b/>
                <w:bCs/>
                <w:color w:val="000000"/>
                <w:sz w:val="17"/>
                <w:u w:val="single"/>
                <w:lang w:eastAsia="tr-TR"/>
              </w:rPr>
              <w:t>T.C. Başbakanlık Toplu Konut İdaresi Başkanlığı-TOKİ</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color w:val="000000"/>
                <w:sz w:val="17"/>
                <w:szCs w:val="17"/>
                <w:lang w:eastAsia="tr-TR"/>
              </w:rPr>
              <w:br/>
              <w:t>Çankırı İli Merkez İlçesi Karataş Mahallesi Sosyal Güvenlik Kurumu İl Müdürlüğü Hizmet Binası İle Altyapı ve Çevre Düzenlemesi İnşaatı İşi</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yapım işi 4734 sayılı Kamu İhale Kanununun 19 uncu maddesine göre açık ihale usulü ile ihale edilecektir. İhaleye ilişkin ayrıntılı bilgiler aşağıda yer almaktadır.</w:t>
            </w:r>
          </w:p>
          <w:tbl>
            <w:tblPr>
              <w:tblW w:w="5000" w:type="pct"/>
              <w:tblCellSpacing w:w="15" w:type="dxa"/>
              <w:tblCellMar>
                <w:left w:w="0" w:type="dxa"/>
                <w:right w:w="0" w:type="dxa"/>
              </w:tblCellMar>
              <w:tblLook w:val="04A0"/>
            </w:tblPr>
            <w:tblGrid>
              <w:gridCol w:w="3345"/>
              <w:gridCol w:w="140"/>
              <w:gridCol w:w="5587"/>
            </w:tblGrid>
            <w:tr w:rsidR="00EF3333" w:rsidRPr="00EF333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2012/189562</w:t>
                  </w:r>
                </w:p>
              </w:tc>
            </w:tr>
          </w:tbl>
          <w:p w:rsidR="00EF3333" w:rsidRPr="00EF3333" w:rsidRDefault="00EF3333" w:rsidP="00EF3333">
            <w:pPr>
              <w:spacing w:after="0" w:line="300" w:lineRule="atLeast"/>
              <w:rPr>
                <w:rFonts w:ascii="Verdana" w:eastAsia="Times New Roman" w:hAnsi="Verdana" w:cs="Times New Roman"/>
                <w:color w:val="000000"/>
                <w:sz w:val="13"/>
                <w:szCs w:val="13"/>
                <w:lang w:eastAsia="tr-TR"/>
              </w:rPr>
            </w:pPr>
            <w:r w:rsidRPr="00EF3333">
              <w:rPr>
                <w:rFonts w:ascii="Verdana" w:eastAsia="Times New Roman" w:hAnsi="Verdana" w:cs="Times New Roman"/>
                <w:color w:val="000000"/>
                <w:sz w:val="13"/>
                <w:szCs w:val="13"/>
                <w:lang w:eastAsia="tr-TR"/>
              </w:rPr>
              <w:t> </w:t>
            </w:r>
          </w:p>
          <w:tbl>
            <w:tblPr>
              <w:tblW w:w="5000" w:type="pct"/>
              <w:tblCellSpacing w:w="15" w:type="dxa"/>
              <w:tblCellMar>
                <w:left w:w="0" w:type="dxa"/>
                <w:right w:w="0" w:type="dxa"/>
              </w:tblCellMar>
              <w:tblLook w:val="04A0"/>
            </w:tblPr>
            <w:tblGrid>
              <w:gridCol w:w="3345"/>
              <w:gridCol w:w="127"/>
              <w:gridCol w:w="5600"/>
            </w:tblGrid>
            <w:tr w:rsidR="00EF3333" w:rsidRPr="00EF3333">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1-İdarenin</w:t>
                  </w:r>
                </w:p>
              </w:tc>
            </w:tr>
            <w:tr w:rsidR="00EF3333" w:rsidRPr="00EF333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a)</w:t>
                  </w:r>
                  <w:r w:rsidRPr="00EF3333">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T.C. Başbakanlık Toplu Konut İdaresi Baskanlığı Bilkent Plaza B1 Blok 06800 Bilkent ÇANKAYA/ANKARA</w:t>
                  </w:r>
                </w:p>
              </w:tc>
            </w:tr>
            <w:tr w:rsidR="00EF3333" w:rsidRPr="00EF333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b)</w:t>
                  </w:r>
                  <w:r w:rsidRPr="00EF3333">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3122667680 - 3122660134</w:t>
                  </w:r>
                </w:p>
              </w:tc>
            </w:tr>
            <w:tr w:rsidR="00EF3333" w:rsidRPr="00EF333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c)</w:t>
                  </w:r>
                  <w:r w:rsidRPr="00EF3333">
                    <w:rPr>
                      <w:rFonts w:ascii="Times New Roman" w:eastAsia="Times New Roman" w:hAnsi="Times New Roman" w:cs="Times New Roman"/>
                      <w:sz w:val="24"/>
                      <w:szCs w:val="24"/>
                      <w:lang w:eastAsia="tr-TR"/>
                    </w:rPr>
                    <w:t> 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msoylu@toki.gov.tr</w:t>
                  </w:r>
                </w:p>
              </w:tc>
            </w:tr>
            <w:tr w:rsidR="00EF3333" w:rsidRPr="00EF333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ç)</w:t>
                  </w:r>
                  <w:r w:rsidRPr="00EF3333">
                    <w:rPr>
                      <w:rFonts w:ascii="Times New Roman" w:eastAsia="Times New Roman" w:hAnsi="Times New Roman" w:cs="Times New Roman"/>
                      <w:sz w:val="24"/>
                      <w:szCs w:val="24"/>
                      <w:lang w:eastAsia="tr-TR"/>
                    </w:rPr>
                    <w:t> 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https://ekap.kik.gov.tr/EKAP/</w:t>
                  </w:r>
                </w:p>
              </w:tc>
            </w:tr>
          </w:tbl>
          <w:p w:rsidR="00EF3333" w:rsidRPr="00EF3333" w:rsidRDefault="00EF3333" w:rsidP="00EF3333">
            <w:pPr>
              <w:spacing w:after="0" w:line="300" w:lineRule="atLeast"/>
              <w:rPr>
                <w:rFonts w:ascii="Verdana" w:eastAsia="Times New Roman" w:hAnsi="Verdana" w:cs="Times New Roman"/>
                <w:color w:val="000000"/>
                <w:sz w:val="13"/>
                <w:szCs w:val="13"/>
                <w:lang w:eastAsia="tr-TR"/>
              </w:rPr>
            </w:pPr>
            <w:r w:rsidRPr="00EF3333">
              <w:rPr>
                <w:rFonts w:ascii="Verdana" w:eastAsia="Times New Roman" w:hAnsi="Verdana" w:cs="Times New Roman"/>
                <w:color w:val="000000"/>
                <w:sz w:val="17"/>
                <w:szCs w:val="17"/>
                <w:lang w:eastAsia="tr-TR"/>
              </w:rPr>
              <w:br/>
              <w:t>2-İhale konusu yapım işinin</w:t>
            </w:r>
          </w:p>
          <w:tbl>
            <w:tblPr>
              <w:tblW w:w="5000" w:type="pct"/>
              <w:tblCellSpacing w:w="15" w:type="dxa"/>
              <w:tblCellMar>
                <w:left w:w="0" w:type="dxa"/>
                <w:right w:w="0" w:type="dxa"/>
              </w:tblCellMar>
              <w:tblLook w:val="04A0"/>
            </w:tblPr>
            <w:tblGrid>
              <w:gridCol w:w="3345"/>
              <w:gridCol w:w="127"/>
              <w:gridCol w:w="5600"/>
            </w:tblGrid>
            <w:tr w:rsidR="00EF3333" w:rsidRPr="00EF333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a)</w:t>
                  </w:r>
                  <w:r w:rsidRPr="00EF3333">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İhalenin niteliği, türü ve miktarına ilişkin ayrıntılı bilgiye EKAP’ta (Elektronik Kamu Alımları Platformu) yer alan ihale dokümanı içinde bulunan idari şartnameden ulaşılabilir.</w:t>
                  </w:r>
                </w:p>
              </w:tc>
            </w:tr>
            <w:tr w:rsidR="00EF3333" w:rsidRPr="00EF333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b)</w:t>
                  </w:r>
                  <w:r w:rsidRPr="00EF3333">
                    <w:rPr>
                      <w:rFonts w:ascii="Times New Roman" w:eastAsia="Times New Roman" w:hAnsi="Times New Roman" w:cs="Times New Roman"/>
                      <w:sz w:val="24"/>
                      <w:szCs w:val="24"/>
                      <w:lang w:eastAsia="tr-TR"/>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Çankırı</w:t>
                  </w:r>
                </w:p>
              </w:tc>
            </w:tr>
            <w:tr w:rsidR="00EF3333" w:rsidRPr="00EF333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c)</w:t>
                  </w:r>
                  <w:r w:rsidRPr="00EF3333">
                    <w:rPr>
                      <w:rFonts w:ascii="Times New Roman" w:eastAsia="Times New Roman" w:hAnsi="Times New Roman" w:cs="Times New Roman"/>
                      <w:sz w:val="24"/>
                      <w:szCs w:val="24"/>
                      <w:lang w:eastAsia="tr-TR"/>
                    </w:rPr>
                    <w:t> 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Sözleşmenin imzalandığı tarihten itibaren 5 gün içinde </w:t>
                  </w:r>
                  <w:r w:rsidRPr="00EF3333">
                    <w:rPr>
                      <w:rFonts w:ascii="Times New Roman" w:eastAsia="Times New Roman" w:hAnsi="Times New Roman" w:cs="Times New Roman"/>
                      <w:sz w:val="24"/>
                      <w:szCs w:val="24"/>
                      <w:lang w:eastAsia="tr-TR"/>
                    </w:rPr>
                    <w:br/>
                    <w:t>yer teslimi yapılarak işe başlanacaktır.</w:t>
                  </w:r>
                </w:p>
              </w:tc>
            </w:tr>
            <w:tr w:rsidR="00EF3333" w:rsidRPr="00EF333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ç)</w:t>
                  </w:r>
                  <w:r w:rsidRPr="00EF3333">
                    <w:rPr>
                      <w:rFonts w:ascii="Times New Roman" w:eastAsia="Times New Roman" w:hAnsi="Times New Roman" w:cs="Times New Roman"/>
                      <w:sz w:val="24"/>
                      <w:szCs w:val="24"/>
                      <w:lang w:eastAsia="tr-TR"/>
                    </w:rPr>
                    <w:t> 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Yer tesliminden itibaren 520 (beşyüzyirmi) takvim günüdür.</w:t>
                  </w:r>
                </w:p>
              </w:tc>
            </w:tr>
          </w:tbl>
          <w:p w:rsidR="00EF3333" w:rsidRPr="00EF3333" w:rsidRDefault="00EF3333" w:rsidP="00EF3333">
            <w:pPr>
              <w:spacing w:after="0" w:line="300" w:lineRule="atLeast"/>
              <w:rPr>
                <w:rFonts w:ascii="Verdana" w:eastAsia="Times New Roman" w:hAnsi="Verdana" w:cs="Times New Roman"/>
                <w:color w:val="000000"/>
                <w:sz w:val="13"/>
                <w:szCs w:val="13"/>
                <w:lang w:eastAsia="tr-TR"/>
              </w:rPr>
            </w:pPr>
            <w:r w:rsidRPr="00EF3333">
              <w:rPr>
                <w:rFonts w:ascii="Verdana" w:eastAsia="Times New Roman" w:hAnsi="Verdana" w:cs="Times New Roman"/>
                <w:color w:val="000000"/>
                <w:sz w:val="17"/>
                <w:szCs w:val="17"/>
                <w:lang w:eastAsia="tr-TR"/>
              </w:rPr>
              <w:br/>
              <w:t>3- İhalenin</w:t>
            </w:r>
          </w:p>
          <w:tbl>
            <w:tblPr>
              <w:tblW w:w="5000" w:type="pct"/>
              <w:tblCellSpacing w:w="15" w:type="dxa"/>
              <w:tblCellMar>
                <w:left w:w="0" w:type="dxa"/>
                <w:right w:w="0" w:type="dxa"/>
              </w:tblCellMar>
              <w:tblLook w:val="04A0"/>
            </w:tblPr>
            <w:tblGrid>
              <w:gridCol w:w="3345"/>
              <w:gridCol w:w="127"/>
              <w:gridCol w:w="5600"/>
            </w:tblGrid>
            <w:tr w:rsidR="00EF3333" w:rsidRPr="00EF333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a)</w:t>
                  </w:r>
                  <w:r w:rsidRPr="00EF3333">
                    <w:rPr>
                      <w:rFonts w:ascii="Times New Roman" w:eastAsia="Times New Roman" w:hAnsi="Times New Roman" w:cs="Times New Roman"/>
                      <w:sz w:val="24"/>
                      <w:szCs w:val="24"/>
                      <w:lang w:eastAsia="tr-TR"/>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T.C.Başbakanlık Toplu Konut İdaresi Başkanlığı Bilkent Plaza B1 Blok Bilkent 06800 ÇANKAYA/ ANKARA</w:t>
                  </w:r>
                </w:p>
              </w:tc>
            </w:tr>
            <w:tr w:rsidR="00EF3333" w:rsidRPr="00EF333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b)</w:t>
                  </w:r>
                  <w:r w:rsidRPr="00EF3333">
                    <w:rPr>
                      <w:rFonts w:ascii="Times New Roman" w:eastAsia="Times New Roman" w:hAnsi="Times New Roman" w:cs="Times New Roman"/>
                      <w:sz w:val="24"/>
                      <w:szCs w:val="24"/>
                      <w:lang w:eastAsia="tr-TR"/>
                    </w:rPr>
                    <w:t> 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10.01.2013 - 14:00</w:t>
                  </w:r>
                </w:p>
              </w:tc>
            </w:tr>
          </w:tbl>
          <w:p w:rsidR="00EF3333" w:rsidRPr="00EF3333" w:rsidRDefault="00EF3333" w:rsidP="00EF3333">
            <w:pPr>
              <w:spacing w:after="0" w:line="300" w:lineRule="atLeast"/>
              <w:rPr>
                <w:rFonts w:ascii="Verdana" w:eastAsia="Times New Roman" w:hAnsi="Verdana" w:cs="Times New Roman"/>
                <w:color w:val="000000"/>
                <w:sz w:val="13"/>
                <w:szCs w:val="13"/>
                <w:lang w:eastAsia="tr-TR"/>
              </w:rPr>
            </w:pP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4. İhaleye katılabilme şartları ve istenilen belgeler ile yeterlik değerlendirmesinde uygulanacak kriterler:</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4.1.</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İhaleye katılma şartları ve istenilen belgeler:</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4.1.1.</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Mevzuatı gereği kayıtlı olduğu Ticaret ve/veya Sanayi Odası ya da Esnaf ve Sanatkarlar Odası veya ilgili Meslek Odası Belgesi.</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lastRenderedPageBreak/>
              <w:t>4.1.1.1.</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Gerçek kişi olması halinde, kayıtlı olduğu ticaret ve/veya sanayi odasından ya da esnaf ve sânatkar odasından veya ilgili meslek odasından, ilk ilan veya ihale tarihinin içinde bulunduğu yılda alınmış, odaya kayıtlı olduğunu gösterir belge,</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4.1.1.2.</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4.1.2.</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Teklif vermeye yetkili olduğunu gösteren İmza Beyannamesi veya İmza Sirküleri.</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4.1.2.1.</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Gerçek kişi olması halinde, noter tasdikli imza beyannamesi.</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4.1.2.2.</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4.1.3.</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Şekli ve içeriği İdari Şartnamede belirlenen teklif mektubu.</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4.1.4.</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Şekli ve içeriği İdari Şartnamede belirlenen geçici teminat.</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4.1.5</w:t>
            </w:r>
            <w:r w:rsidRPr="00EF3333">
              <w:rPr>
                <w:rFonts w:ascii="Verdana" w:eastAsia="Times New Roman" w:hAnsi="Verdana" w:cs="Times New Roman"/>
                <w:color w:val="000000"/>
                <w:sz w:val="17"/>
                <w:szCs w:val="17"/>
                <w:lang w:eastAsia="tr-TR"/>
              </w:rPr>
              <w:t>İhale konusu işte idarenin onayı ile alt yüklenici çalıştırılabilir. Ancak işin tamamı alt yüklenicilere yaptırılamaz.</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4.1.6</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tblCellMar>
                <w:left w:w="0" w:type="dxa"/>
                <w:right w:w="0" w:type="dxa"/>
              </w:tblCellMar>
              <w:tblLook w:val="04A0"/>
            </w:tblPr>
            <w:tblGrid>
              <w:gridCol w:w="9072"/>
            </w:tblGrid>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4.2.1 Bankalardan temin edilecek belgeler:</w:t>
                  </w:r>
                </w:p>
              </w:tc>
            </w:tr>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Teklif edilen bedelin % 10 dan az olmamak üzere istekli tarafından belirlenecek tutarda bankalar nezdindeki kullanılmamış nakdi veya gayrinakdi kredisini ya da üzerinde kısıtlama bulunmayan mevduatını gösteren banka referans mektubu, </w:t>
                  </w:r>
                  <w:r w:rsidRPr="00EF3333">
                    <w:rPr>
                      <w:rFonts w:ascii="Times New Roman" w:eastAsia="Times New Roman" w:hAnsi="Times New Roman" w:cs="Times New Roman"/>
                      <w:sz w:val="24"/>
                      <w:szCs w:val="24"/>
                      <w:lang w:eastAsia="tr-TR"/>
                    </w:rPr>
                    <w:br/>
                    <w:t>Bu kriterler, mevduat ve kredi tutarları toplanmak ya da birden fazla banka referans mektubu sunulmak suretiyle de sağlanabilir.</w:t>
                  </w:r>
                </w:p>
              </w:tc>
            </w:tr>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4.2.2. İsteklinin ihalenin yapıldığı yıldan önceki yıla ait yıl sonu bilançosu veya eşdeğer belgeleri:</w:t>
                  </w:r>
                </w:p>
              </w:tc>
            </w:tr>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İsteklinin ihalenin yapıldığı yıldan önceki yıla ait yıl sonu bilançosu veya eşdeğer belgeleri; </w:t>
                  </w:r>
                  <w:r w:rsidRPr="00EF3333">
                    <w:rPr>
                      <w:rFonts w:ascii="Times New Roman" w:eastAsia="Times New Roman" w:hAnsi="Times New Roman" w:cs="Times New Roman"/>
                      <w:sz w:val="24"/>
                      <w:szCs w:val="24"/>
                      <w:lang w:eastAsia="tr-TR"/>
                    </w:rPr>
                    <w:br/>
                    <w:t>a) İlgili mevzuatı uyarınca bilançosunu yayımlatma zorunluluğu olan istekliler yıl sonu bilançosunu veya bilançonun gerekli kriterlerin sağlandığını gösteren bölümlerini,</w:t>
                  </w:r>
                  <w:r w:rsidRPr="00EF3333">
                    <w:rPr>
                      <w:rFonts w:ascii="Times New Roman" w:eastAsia="Times New Roman" w:hAnsi="Times New Roman" w:cs="Times New Roman"/>
                      <w:sz w:val="24"/>
                      <w:szCs w:val="24"/>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EF3333">
                    <w:rPr>
                      <w:rFonts w:ascii="Times New Roman" w:eastAsia="Times New Roman" w:hAnsi="Times New Roman" w:cs="Times New Roman"/>
                      <w:sz w:val="24"/>
                      <w:szCs w:val="24"/>
                      <w:lang w:eastAsia="tr-TR"/>
                    </w:rPr>
                    <w:br/>
                    <w:t>Sunulan bilanço veya eşdeğer belgelerde; </w:t>
                  </w:r>
                  <w:r w:rsidRPr="00EF3333">
                    <w:rPr>
                      <w:rFonts w:ascii="Times New Roman" w:eastAsia="Times New Roman" w:hAnsi="Times New Roman" w:cs="Times New Roman"/>
                      <w:sz w:val="24"/>
                      <w:szCs w:val="24"/>
                      <w:lang w:eastAsia="tr-TR"/>
                    </w:rPr>
                    <w:br/>
                    <w:t>a) Cari oranın (dönen varlıklar / kısa vadeli borçlar) en az 0,75 olması, </w:t>
                  </w:r>
                  <w:r w:rsidRPr="00EF3333">
                    <w:rPr>
                      <w:rFonts w:ascii="Times New Roman" w:eastAsia="Times New Roman" w:hAnsi="Times New Roman" w:cs="Times New Roman"/>
                      <w:sz w:val="24"/>
                      <w:szCs w:val="24"/>
                      <w:lang w:eastAsia="tr-TR"/>
                    </w:rPr>
                    <w:br/>
                    <w:t>b) Öz kaynak oranının (öz kaynaklar/ toplam aktif) en az 0,15 olması, </w:t>
                  </w:r>
                  <w:r w:rsidRPr="00EF3333">
                    <w:rPr>
                      <w:rFonts w:ascii="Times New Roman" w:eastAsia="Times New Roman" w:hAnsi="Times New Roman" w:cs="Times New Roman"/>
                      <w:sz w:val="24"/>
                      <w:szCs w:val="24"/>
                      <w:lang w:eastAsia="tr-TR"/>
                    </w:rPr>
                    <w:br/>
                    <w:t>c) Kısa vadeli banka borçlarının öz kaynaklara oranının 0,50’den küçük olması, yeterlik kriterleridir ve bu üç kriter birlikte aranır. </w:t>
                  </w:r>
                  <w:r w:rsidRPr="00EF3333">
                    <w:rPr>
                      <w:rFonts w:ascii="Times New Roman" w:eastAsia="Times New Roman" w:hAnsi="Times New Roman" w:cs="Times New Roman"/>
                      <w:sz w:val="24"/>
                      <w:szCs w:val="24"/>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r w:rsidRPr="00EF3333">
                    <w:rPr>
                      <w:rFonts w:ascii="Times New Roman" w:eastAsia="Times New Roman" w:hAnsi="Times New Roman" w:cs="Times New Roman"/>
                      <w:sz w:val="24"/>
                      <w:szCs w:val="24"/>
                      <w:lang w:eastAsia="tr-TR"/>
                    </w:rPr>
                    <w:br/>
                    <w:t xml:space="preserve">İhale veya son başvuru tarihi yılın ilk dört ayında olan ihalelerde, bir önceki yıla ait </w:t>
                  </w:r>
                  <w:r w:rsidRPr="00EF3333">
                    <w:rPr>
                      <w:rFonts w:ascii="Times New Roman" w:eastAsia="Times New Roman" w:hAnsi="Times New Roman" w:cs="Times New Roman"/>
                      <w:sz w:val="24"/>
                      <w:szCs w:val="24"/>
                      <w:lang w:eastAsia="tr-TR"/>
                    </w:rPr>
                    <w:lastRenderedPageBreak/>
                    <w:t>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tc>
            </w:tr>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lastRenderedPageBreak/>
                    <w:t>4.2.3. İş hacmini gösteren belgeler:</w:t>
                  </w:r>
                </w:p>
              </w:tc>
            </w:tr>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İsteklinin ihalenin yapıldığı yıldan önceki yıla ait, aşağıda belirtilen belgelerden birini sunması yeterlidir;</w:t>
                  </w:r>
                  <w:r w:rsidRPr="00EF3333">
                    <w:rPr>
                      <w:rFonts w:ascii="Times New Roman" w:eastAsia="Times New Roman" w:hAnsi="Times New Roman" w:cs="Times New Roman"/>
                      <w:sz w:val="24"/>
                      <w:szCs w:val="24"/>
                      <w:lang w:eastAsia="tr-TR"/>
                    </w:rPr>
                    <w:br/>
                    <w:t>a) Toplam cirosunu gösteren gelir tablosu, </w:t>
                  </w:r>
                  <w:r w:rsidRPr="00EF3333">
                    <w:rPr>
                      <w:rFonts w:ascii="Times New Roman" w:eastAsia="Times New Roman" w:hAnsi="Times New Roman" w:cs="Times New Roman"/>
                      <w:sz w:val="24"/>
                      <w:szCs w:val="24"/>
                      <w:lang w:eastAsia="tr-TR"/>
                    </w:rPr>
                    <w:br/>
                    <w:t>b) Taahhüt altında devam eden yapım işlerinin gerçekleştirilen kısmının veya bitirilen yapım işlerinin parasal tutarını gösteren faturalar. </w:t>
                  </w:r>
                  <w:r w:rsidRPr="00EF3333">
                    <w:rPr>
                      <w:rFonts w:ascii="Times New Roman" w:eastAsia="Times New Roman" w:hAnsi="Times New Roman" w:cs="Times New Roman"/>
                      <w:sz w:val="24"/>
                      <w:szCs w:val="24"/>
                      <w:lang w:eastAsia="tr-TR"/>
                    </w:rPr>
                    <w:br/>
                    <w:t>İsteklinin cirosunun teklif ettiği bedelin % 25 inden, taahhüt altında devam eden yapım işlerinin gerçekleştirilen kısmının veya bitirilen yapım işlerinin parasal tutarı için ise teklif edilen bedelin % 15 inden az olmaması gerekir. Bu kriterlerden herhangi birini sağlayan ve sağladığı kritere ilişkin belgeyi sunan istekli yeterli kabul edilecektir.</w:t>
                  </w:r>
                  <w:r w:rsidRPr="00EF3333">
                    <w:rPr>
                      <w:rFonts w:ascii="Times New Roman" w:eastAsia="Times New Roman" w:hAnsi="Times New Roman" w:cs="Times New Roman"/>
                      <w:sz w:val="24"/>
                      <w:szCs w:val="24"/>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r w:rsidRPr="00EF3333">
                    <w:rPr>
                      <w:rFonts w:ascii="Times New Roman" w:eastAsia="Times New Roman" w:hAnsi="Times New Roman" w:cs="Times New Roman"/>
                      <w:sz w:val="24"/>
                      <w:szCs w:val="24"/>
                      <w:lang w:eastAsia="tr-TR"/>
                    </w:rPr>
                    <w:br/>
                  </w:r>
                  <w:r w:rsidRPr="00EF3333">
                    <w:rPr>
                      <w:rFonts w:ascii="Times New Roman" w:eastAsia="Times New Roman" w:hAnsi="Times New Roman" w:cs="Times New Roman"/>
                      <w:sz w:val="24"/>
                      <w:szCs w:val="24"/>
                      <w:lang w:eastAsia="tr-TR"/>
                    </w:rPr>
                    <w:br/>
                    <w:t>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kriterlerinin sağlanıp sağlanmadığına bakılır.</w:t>
                  </w:r>
                </w:p>
              </w:tc>
            </w:tr>
          </w:tbl>
          <w:p w:rsidR="00EF3333" w:rsidRPr="00EF3333" w:rsidRDefault="00EF3333" w:rsidP="00EF3333">
            <w:pPr>
              <w:spacing w:after="0" w:line="300" w:lineRule="atLeast"/>
              <w:rPr>
                <w:rFonts w:ascii="Verdana" w:eastAsia="Times New Roman" w:hAnsi="Verdana" w:cs="Times New Roman"/>
                <w:color w:val="000000"/>
                <w:sz w:val="13"/>
                <w:szCs w:val="13"/>
                <w:lang w:eastAsia="tr-TR"/>
              </w:rPr>
            </w:pPr>
            <w:r w:rsidRPr="00EF3333">
              <w:rPr>
                <w:rFonts w:ascii="Verdana" w:eastAsia="Times New Roman" w:hAnsi="Verdana" w:cs="Times New Roman"/>
                <w:color w:val="000000"/>
                <w:sz w:val="13"/>
                <w:szCs w:val="13"/>
                <w:lang w:eastAsia="tr-TR"/>
              </w:rPr>
              <w:t> </w:t>
            </w:r>
          </w:p>
          <w:tbl>
            <w:tblPr>
              <w:tblW w:w="5000" w:type="pct"/>
              <w:tblCellSpacing w:w="15" w:type="dxa"/>
              <w:tblCellMar>
                <w:left w:w="0" w:type="dxa"/>
                <w:right w:w="0" w:type="dxa"/>
              </w:tblCellMar>
              <w:tblLook w:val="04A0"/>
            </w:tblPr>
            <w:tblGrid>
              <w:gridCol w:w="9072"/>
            </w:tblGrid>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4.3.1. İş deneyim belgeleri:</w:t>
                  </w:r>
                </w:p>
              </w:tc>
            </w:tr>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Son on beş yıl içinde bedel içeren bir sözleşme kapsamında taahhüt edilen ve teklif edilen bedelin % 100 oranından az olmamak üzere ihale konusu iş veya benzer işlere ilişkin iş deneyimini gösteren belgeler,</w:t>
                  </w:r>
                </w:p>
              </w:tc>
            </w:tr>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4.3.2. Makine, teçhizat ve diğer ekipmana ilişkin belgeler</w:t>
                  </w:r>
                </w:p>
              </w:tc>
            </w:tr>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tbl>
                  <w:tblPr>
                    <w:tblW w:w="0" w:type="auto"/>
                    <w:tblCellMar>
                      <w:left w:w="0" w:type="dxa"/>
                      <w:right w:w="0" w:type="dxa"/>
                    </w:tblCellMar>
                    <w:tblLook w:val="04A0"/>
                  </w:tblPr>
                  <w:tblGrid>
                    <w:gridCol w:w="959"/>
                    <w:gridCol w:w="4677"/>
                    <w:gridCol w:w="2943"/>
                  </w:tblGrid>
                  <w:tr w:rsidR="00EF3333" w:rsidRPr="00EF3333">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Sıra No</w:t>
                        </w:r>
                      </w:p>
                    </w:tc>
                    <w:tc>
                      <w:tcPr>
                        <w:tcW w:w="4677"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Makine, Ekipman cinsi ve Özellikleri</w:t>
                        </w:r>
                      </w:p>
                    </w:tc>
                    <w:tc>
                      <w:tcPr>
                        <w:tcW w:w="2943"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Gerekli Minimum Miktar</w:t>
                        </w:r>
                      </w:p>
                    </w:tc>
                  </w:tr>
                  <w:tr w:rsidR="00EF3333" w:rsidRPr="00EF333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1</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Ekskavatör</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1 Adet</w:t>
                        </w:r>
                      </w:p>
                    </w:tc>
                  </w:tr>
                  <w:tr w:rsidR="00EF3333" w:rsidRPr="00EF333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2</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Traktör Kepçe</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2 Adet</w:t>
                        </w:r>
                      </w:p>
                    </w:tc>
                  </w:tr>
                  <w:tr w:rsidR="00EF3333" w:rsidRPr="00EF333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3</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Dozer</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1 Adet</w:t>
                        </w:r>
                      </w:p>
                    </w:tc>
                  </w:tr>
                  <w:tr w:rsidR="00EF3333" w:rsidRPr="00EF333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4</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İnş.Asansörü</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7 Adet</w:t>
                        </w:r>
                      </w:p>
                    </w:tc>
                  </w:tr>
                  <w:tr w:rsidR="00EF3333" w:rsidRPr="00EF333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5</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Kamyon</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3 Adet</w:t>
                        </w:r>
                      </w:p>
                    </w:tc>
                  </w:tr>
                  <w:tr w:rsidR="00EF3333" w:rsidRPr="00EF333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6</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Hiyap Vinç(30 tonluk)</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2 Adet</w:t>
                        </w:r>
                      </w:p>
                    </w:tc>
                  </w:tr>
                  <w:tr w:rsidR="00EF3333" w:rsidRPr="00EF333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7</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Vibratör</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7 Adet</w:t>
                        </w:r>
                      </w:p>
                    </w:tc>
                  </w:tr>
                  <w:tr w:rsidR="00EF3333" w:rsidRPr="00EF3333">
                    <w:tc>
                      <w:tcPr>
                        <w:tcW w:w="959"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8</w:t>
                        </w:r>
                      </w:p>
                    </w:tc>
                    <w:tc>
                      <w:tcPr>
                        <w:tcW w:w="46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Kırıcı</w:t>
                        </w:r>
                      </w:p>
                    </w:tc>
                    <w:tc>
                      <w:tcPr>
                        <w:tcW w:w="294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1 Adet</w:t>
                        </w:r>
                      </w:p>
                    </w:tc>
                  </w:tr>
                </w:tbl>
                <w:p w:rsidR="00EF3333" w:rsidRPr="00EF3333" w:rsidRDefault="00EF3333" w:rsidP="00EF3333">
                  <w:pPr>
                    <w:spacing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Tesis, makine, teçhizat ve diğer ekipman için kendi malı olma şartının aranmaması esastır.</w:t>
                  </w:r>
                </w:p>
              </w:tc>
            </w:tr>
          </w:tbl>
          <w:p w:rsidR="00EF3333" w:rsidRPr="00EF3333" w:rsidRDefault="00EF3333" w:rsidP="00EF3333">
            <w:pPr>
              <w:spacing w:after="0" w:line="300" w:lineRule="atLeast"/>
              <w:rPr>
                <w:rFonts w:ascii="Verdana" w:eastAsia="Times New Roman" w:hAnsi="Verdana" w:cs="Times New Roman"/>
                <w:color w:val="000000"/>
                <w:sz w:val="13"/>
                <w:szCs w:val="13"/>
                <w:lang w:eastAsia="tr-TR"/>
              </w:rPr>
            </w:pPr>
            <w:r w:rsidRPr="00EF3333">
              <w:rPr>
                <w:rFonts w:ascii="Verdana" w:eastAsia="Times New Roman" w:hAnsi="Verdana" w:cs="Times New Roman"/>
                <w:color w:val="000000"/>
                <w:sz w:val="13"/>
                <w:szCs w:val="13"/>
                <w:lang w:eastAsia="tr-TR"/>
              </w:rPr>
              <w:t> </w:t>
            </w:r>
          </w:p>
          <w:tbl>
            <w:tblPr>
              <w:tblW w:w="5000" w:type="pct"/>
              <w:tblCellSpacing w:w="15" w:type="dxa"/>
              <w:tblCellMar>
                <w:left w:w="0" w:type="dxa"/>
                <w:right w:w="0" w:type="dxa"/>
              </w:tblCellMar>
              <w:tblLook w:val="04A0"/>
            </w:tblPr>
            <w:tblGrid>
              <w:gridCol w:w="9072"/>
            </w:tblGrid>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lastRenderedPageBreak/>
                    <w:t>4.4.1.</w:t>
                  </w:r>
                  <w:r w:rsidRPr="00EF3333">
                    <w:rPr>
                      <w:rFonts w:ascii="Times New Roman" w:eastAsia="Times New Roman" w:hAnsi="Times New Roman" w:cs="Times New Roman"/>
                      <w:sz w:val="24"/>
                      <w:szCs w:val="24"/>
                      <w:lang w:eastAsia="tr-TR"/>
                    </w:rPr>
                    <w:t> Bu ihalede benzer iş olarak kabul edilecek işler:</w:t>
                  </w:r>
                </w:p>
              </w:tc>
            </w:tr>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11.06.2011 tarih ve 27961 sayılı Resmi Gazetede yayımlanan "Yapım İşlerinde benzer iş grupları tebliği" nde yer alan B/III grubu işler benzer iş olarak kabul edilecektir.</w:t>
                  </w:r>
                </w:p>
              </w:tc>
            </w:tr>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b/>
                      <w:bCs/>
                      <w:sz w:val="24"/>
                      <w:szCs w:val="24"/>
                      <w:lang w:eastAsia="tr-TR"/>
                    </w:rPr>
                    <w:t>4.4.2.</w:t>
                  </w:r>
                  <w:r w:rsidRPr="00EF3333">
                    <w:rPr>
                      <w:rFonts w:ascii="Times New Roman" w:eastAsia="Times New Roman" w:hAnsi="Times New Roman" w:cs="Times New Roman"/>
                      <w:sz w:val="24"/>
                      <w:szCs w:val="24"/>
                      <w:lang w:eastAsia="tr-TR"/>
                    </w:rPr>
                    <w:t> Benzer işe denk sayılacak mühendislik veya mimarlık bölümleri:</w:t>
                  </w:r>
                </w:p>
              </w:tc>
            </w:tr>
            <w:tr w:rsidR="00EF3333" w:rsidRPr="00EF333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F3333" w:rsidRPr="00EF3333" w:rsidRDefault="00EF3333" w:rsidP="00EF3333">
                  <w:pPr>
                    <w:spacing w:after="0" w:line="240" w:lineRule="auto"/>
                    <w:rPr>
                      <w:rFonts w:ascii="Times New Roman" w:eastAsia="Times New Roman" w:hAnsi="Times New Roman" w:cs="Times New Roman"/>
                      <w:sz w:val="24"/>
                      <w:szCs w:val="24"/>
                      <w:lang w:eastAsia="tr-TR"/>
                    </w:rPr>
                  </w:pPr>
                  <w:r w:rsidRPr="00EF3333">
                    <w:rPr>
                      <w:rFonts w:ascii="Times New Roman" w:eastAsia="Times New Roman" w:hAnsi="Times New Roman" w:cs="Times New Roman"/>
                      <w:sz w:val="24"/>
                      <w:szCs w:val="24"/>
                      <w:lang w:eastAsia="tr-TR"/>
                    </w:rPr>
                    <w:t>Mühendislik Fakültesi İnşaat Bölümü mezunu veya Mimarlık Fakültesi Mimarlık Bölümü mezunu olan elemanların diplomaları ihale konusu işe denk sayılacaktır. Mezuniyet belgelerinin iş deneyimini tevsik için sunulması durumunda; mezuniyetten sonra geçen sürenin onbeş yıldan fazlasının değerlendirmeye alınabilmesi için, başvuru veya teklif kapsamında mezuniyet belgesi sahibine ait yapım işine ilişkin bir iş deneyim belgesinin sunulması zorunludur.</w:t>
                  </w:r>
                </w:p>
              </w:tc>
            </w:tr>
          </w:tbl>
          <w:p w:rsidR="00EF3333" w:rsidRPr="00EF3333" w:rsidRDefault="00EF3333" w:rsidP="00EF3333">
            <w:pPr>
              <w:spacing w:after="0" w:line="300" w:lineRule="atLeast"/>
              <w:rPr>
                <w:rFonts w:ascii="Verdana" w:eastAsia="Times New Roman" w:hAnsi="Verdana" w:cs="Times New Roman"/>
                <w:color w:val="000000"/>
                <w:sz w:val="13"/>
                <w:szCs w:val="13"/>
                <w:lang w:eastAsia="tr-TR"/>
              </w:rPr>
            </w:pP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5.</w:t>
            </w:r>
            <w:r w:rsidRPr="00EF3333">
              <w:rPr>
                <w:rFonts w:ascii="Verdana" w:eastAsia="Times New Roman" w:hAnsi="Verdana" w:cs="Times New Roman"/>
                <w:color w:val="000000"/>
                <w:sz w:val="17"/>
                <w:szCs w:val="17"/>
                <w:lang w:eastAsia="tr-TR"/>
              </w:rPr>
              <w:t>Ekonomik açıdan en avantajlı teklif sadece fiyat esasına göre belirlenecektir.</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6.</w:t>
            </w:r>
            <w:r w:rsidRPr="00EF3333">
              <w:rPr>
                <w:rFonts w:ascii="Verdana" w:eastAsia="Times New Roman" w:hAnsi="Verdana" w:cs="Times New Roman"/>
                <w:color w:val="000000"/>
                <w:sz w:val="17"/>
                <w:szCs w:val="17"/>
                <w:lang w:eastAsia="tr-TR"/>
              </w:rPr>
              <w:t>İhaleye sadece yerli istekliler katılabilecektir.</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7.</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İhale dokümanının görülmesi ve satın alınması:</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7.1.</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İhale dokümanı, idarenin adresinde görülebilir ve</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500 TRY (Türk Lirası)karşılığı</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T.C.Başbakanlık Toplu Konut İdaresi Başkanlığıadresinden satın alınabilir.</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7.2.</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İhaleye teklif verecek olanların ihale dokümanını satın almaları zorunludur.</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8.</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Teklifler, ihale tarih ve saatine kadar</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T.C.Başbakanlık Toplu Konut İdaresi Başkanlığı Bilkent Plaza B1 Blok Bilkent 06800 ÇANKAYA/ ANKARA</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adresine elden teslim edilebileceği gibi, aynı adrese iadeli taahhütlü posta vasıtasıyla da gönderilebilir.</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9.</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10.</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İstekliler teklif ettikleri bedelin %3’ünden az olmamak üzere kendi belirleyecekleri tutarda geçici teminat vereceklerdir.</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11.</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Verilen tekliflerin geçerlilik süresi, ihale tarihinden itibaren</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120 (yüzyirmi)</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takvim günüdür.</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12.</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t>Konsorsiyum olarak ihaleye teklif verilemez.</w:t>
            </w:r>
            <w:r w:rsidRPr="00EF3333">
              <w:rPr>
                <w:rFonts w:ascii="Verdana" w:eastAsia="Times New Roman" w:hAnsi="Verdana" w:cs="Times New Roman"/>
                <w:color w:val="000000"/>
                <w:sz w:val="17"/>
                <w:lang w:eastAsia="tr-TR"/>
              </w:rPr>
              <w:t> </w:t>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color w:val="000000"/>
                <w:sz w:val="17"/>
                <w:szCs w:val="17"/>
                <w:lang w:eastAsia="tr-TR"/>
              </w:rPr>
              <w:br/>
            </w:r>
            <w:r w:rsidRPr="00EF3333">
              <w:rPr>
                <w:rFonts w:ascii="Verdana" w:eastAsia="Times New Roman" w:hAnsi="Verdana" w:cs="Times New Roman"/>
                <w:b/>
                <w:bCs/>
                <w:color w:val="000000"/>
                <w:sz w:val="17"/>
                <w:lang w:eastAsia="tr-TR"/>
              </w:rPr>
              <w:t>13. Diğer hususlar:</w:t>
            </w:r>
          </w:p>
          <w:p w:rsidR="00EF3333" w:rsidRPr="00EF3333" w:rsidRDefault="00EF3333" w:rsidP="00EF3333">
            <w:pPr>
              <w:spacing w:after="0" w:line="300" w:lineRule="atLeast"/>
              <w:rPr>
                <w:rFonts w:ascii="Verdana" w:eastAsia="Times New Roman" w:hAnsi="Verdana" w:cs="Times New Roman"/>
                <w:color w:val="000000"/>
                <w:sz w:val="13"/>
                <w:szCs w:val="13"/>
                <w:lang w:eastAsia="tr-TR"/>
              </w:rPr>
            </w:pPr>
            <w:r w:rsidRPr="00EF3333">
              <w:rPr>
                <w:rFonts w:ascii="Verdana" w:eastAsia="Times New Roman" w:hAnsi="Verdana" w:cs="Times New Roman"/>
                <w:b/>
                <w:bCs/>
                <w:color w:val="000000"/>
                <w:sz w:val="17"/>
                <w:lang w:eastAsia="tr-TR"/>
              </w:rPr>
              <w:t>İhalede Uygulanacak Sınır Değer Katsayısı (N) : </w:t>
            </w:r>
            <w:r w:rsidRPr="00EF3333">
              <w:rPr>
                <w:rFonts w:ascii="Verdana" w:eastAsia="Times New Roman" w:hAnsi="Verdana" w:cs="Times New Roman"/>
                <w:color w:val="000000"/>
                <w:sz w:val="17"/>
                <w:szCs w:val="17"/>
                <w:lang w:eastAsia="tr-TR"/>
              </w:rPr>
              <w:t>1</w:t>
            </w:r>
          </w:p>
          <w:p w:rsidR="00EF3333" w:rsidRPr="00EF3333" w:rsidRDefault="00EF3333" w:rsidP="00EF3333">
            <w:pPr>
              <w:spacing w:after="135" w:line="300" w:lineRule="atLeast"/>
              <w:rPr>
                <w:rFonts w:ascii="Verdana" w:eastAsia="Times New Roman" w:hAnsi="Verdana" w:cs="Times New Roman"/>
                <w:color w:val="000000"/>
                <w:sz w:val="13"/>
                <w:szCs w:val="13"/>
                <w:lang w:eastAsia="tr-TR"/>
              </w:rPr>
            </w:pPr>
            <w:r w:rsidRPr="00EF3333">
              <w:rPr>
                <w:rFonts w:ascii="Verdana" w:eastAsia="Times New Roman" w:hAnsi="Verdana" w:cs="Times New Roman"/>
                <w:b/>
                <w:bCs/>
                <w:color w:val="333333"/>
                <w:sz w:val="13"/>
                <w:lang w:eastAsia="tr-TR"/>
              </w:rPr>
              <w:t> </w:t>
            </w:r>
          </w:p>
        </w:tc>
      </w:tr>
    </w:tbl>
    <w:p w:rsidR="00062314" w:rsidRDefault="00062314"/>
    <w:sectPr w:rsidR="00062314" w:rsidSect="000623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EF3333"/>
    <w:rsid w:val="00062314"/>
    <w:rsid w:val="00EF33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3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F3333"/>
    <w:rPr>
      <w:b/>
      <w:bCs/>
    </w:rPr>
  </w:style>
  <w:style w:type="character" w:customStyle="1" w:styleId="apple-converted-space">
    <w:name w:val="apple-converted-space"/>
    <w:basedOn w:val="VarsaylanParagrafYazTipi"/>
    <w:rsid w:val="00EF3333"/>
  </w:style>
</w:styles>
</file>

<file path=word/webSettings.xml><?xml version="1.0" encoding="utf-8"?>
<w:webSettings xmlns:r="http://schemas.openxmlformats.org/officeDocument/2006/relationships" xmlns:w="http://schemas.openxmlformats.org/wordprocessingml/2006/main">
  <w:divs>
    <w:div w:id="1373265728">
      <w:bodyDiv w:val="1"/>
      <w:marLeft w:val="0"/>
      <w:marRight w:val="0"/>
      <w:marTop w:val="0"/>
      <w:marBottom w:val="0"/>
      <w:divBdr>
        <w:top w:val="none" w:sz="0" w:space="0" w:color="auto"/>
        <w:left w:val="none" w:sz="0" w:space="0" w:color="auto"/>
        <w:bottom w:val="none" w:sz="0" w:space="0" w:color="auto"/>
        <w:right w:val="none" w:sz="0" w:space="0" w:color="auto"/>
      </w:divBdr>
      <w:divsChild>
        <w:div w:id="959532919">
          <w:marLeft w:val="0"/>
          <w:marRight w:val="0"/>
          <w:marTop w:val="0"/>
          <w:marBottom w:val="200"/>
          <w:divBdr>
            <w:top w:val="none" w:sz="0" w:space="0" w:color="auto"/>
            <w:left w:val="none" w:sz="0" w:space="0" w:color="auto"/>
            <w:bottom w:val="none" w:sz="0" w:space="0" w:color="auto"/>
            <w:right w:val="none" w:sz="0" w:space="0" w:color="auto"/>
          </w:divBdr>
        </w:div>
        <w:div w:id="686560646">
          <w:marLeft w:val="0"/>
          <w:marRight w:val="0"/>
          <w:marTop w:val="0"/>
          <w:marBottom w:val="200"/>
          <w:divBdr>
            <w:top w:val="none" w:sz="0" w:space="0" w:color="auto"/>
            <w:left w:val="none" w:sz="0" w:space="0" w:color="auto"/>
            <w:bottom w:val="none" w:sz="0" w:space="0" w:color="auto"/>
            <w:right w:val="none" w:sz="0" w:space="0" w:color="auto"/>
          </w:divBdr>
        </w:div>
        <w:div w:id="1011830752">
          <w:marLeft w:val="0"/>
          <w:marRight w:val="0"/>
          <w:marTop w:val="0"/>
          <w:marBottom w:val="200"/>
          <w:divBdr>
            <w:top w:val="none" w:sz="0" w:space="0" w:color="auto"/>
            <w:left w:val="none" w:sz="0" w:space="0" w:color="auto"/>
            <w:bottom w:val="none" w:sz="0" w:space="0" w:color="auto"/>
            <w:right w:val="none" w:sz="0" w:space="0" w:color="auto"/>
          </w:divBdr>
        </w:div>
        <w:div w:id="1714117515">
          <w:marLeft w:val="0"/>
          <w:marRight w:val="0"/>
          <w:marTop w:val="0"/>
          <w:marBottom w:val="200"/>
          <w:divBdr>
            <w:top w:val="none" w:sz="0" w:space="0" w:color="auto"/>
            <w:left w:val="none" w:sz="0" w:space="0" w:color="auto"/>
            <w:bottom w:val="none" w:sz="0" w:space="0" w:color="auto"/>
            <w:right w:val="none" w:sz="0" w:space="0" w:color="auto"/>
          </w:divBdr>
        </w:div>
        <w:div w:id="137380084">
          <w:marLeft w:val="0"/>
          <w:marRight w:val="0"/>
          <w:marTop w:val="0"/>
          <w:marBottom w:val="45"/>
          <w:divBdr>
            <w:top w:val="none" w:sz="0" w:space="0" w:color="auto"/>
            <w:left w:val="none" w:sz="0" w:space="0" w:color="auto"/>
            <w:bottom w:val="none" w:sz="0" w:space="0" w:color="auto"/>
            <w:right w:val="none" w:sz="0" w:space="0" w:color="auto"/>
          </w:divBdr>
        </w:div>
        <w:div w:id="1594777256">
          <w:marLeft w:val="0"/>
          <w:marRight w:val="0"/>
          <w:marTop w:val="0"/>
          <w:marBottom w:val="200"/>
          <w:divBdr>
            <w:top w:val="none" w:sz="0" w:space="0" w:color="auto"/>
            <w:left w:val="none" w:sz="0" w:space="0" w:color="auto"/>
            <w:bottom w:val="none" w:sz="0" w:space="0" w:color="auto"/>
            <w:right w:val="none" w:sz="0" w:space="0" w:color="auto"/>
          </w:divBdr>
        </w:div>
        <w:div w:id="56327141">
          <w:marLeft w:val="0"/>
          <w:marRight w:val="0"/>
          <w:marTop w:val="0"/>
          <w:marBottom w:val="0"/>
          <w:divBdr>
            <w:top w:val="none" w:sz="0" w:space="0" w:color="auto"/>
            <w:left w:val="none" w:sz="0" w:space="0" w:color="auto"/>
            <w:bottom w:val="none" w:sz="0" w:space="0" w:color="auto"/>
            <w:right w:val="none" w:sz="0" w:space="0" w:color="auto"/>
          </w:divBdr>
        </w:div>
        <w:div w:id="439296469">
          <w:marLeft w:val="0"/>
          <w:marRight w:val="0"/>
          <w:marTop w:val="0"/>
          <w:marBottom w:val="0"/>
          <w:divBdr>
            <w:top w:val="none" w:sz="0" w:space="0" w:color="auto"/>
            <w:left w:val="none" w:sz="0" w:space="0" w:color="auto"/>
            <w:bottom w:val="none" w:sz="0" w:space="0" w:color="auto"/>
            <w:right w:val="none" w:sz="0" w:space="0" w:color="auto"/>
          </w:divBdr>
        </w:div>
        <w:div w:id="1913083530">
          <w:marLeft w:val="0"/>
          <w:marRight w:val="0"/>
          <w:marTop w:val="0"/>
          <w:marBottom w:val="0"/>
          <w:divBdr>
            <w:top w:val="none" w:sz="0" w:space="0" w:color="auto"/>
            <w:left w:val="none" w:sz="0" w:space="0" w:color="auto"/>
            <w:bottom w:val="none" w:sz="0" w:space="0" w:color="auto"/>
            <w:right w:val="none" w:sz="0" w:space="0" w:color="auto"/>
          </w:divBdr>
        </w:div>
        <w:div w:id="85225653">
          <w:marLeft w:val="0"/>
          <w:marRight w:val="0"/>
          <w:marTop w:val="0"/>
          <w:marBottom w:val="0"/>
          <w:divBdr>
            <w:top w:val="none" w:sz="0" w:space="0" w:color="auto"/>
            <w:left w:val="none" w:sz="0" w:space="0" w:color="auto"/>
            <w:bottom w:val="none" w:sz="0" w:space="0" w:color="auto"/>
            <w:right w:val="none" w:sz="0" w:space="0" w:color="auto"/>
          </w:divBdr>
        </w:div>
        <w:div w:id="2069720668">
          <w:marLeft w:val="0"/>
          <w:marRight w:val="0"/>
          <w:marTop w:val="0"/>
          <w:marBottom w:val="0"/>
          <w:divBdr>
            <w:top w:val="none" w:sz="0" w:space="0" w:color="auto"/>
            <w:left w:val="none" w:sz="0" w:space="0" w:color="auto"/>
            <w:bottom w:val="none" w:sz="0" w:space="0" w:color="auto"/>
            <w:right w:val="none" w:sz="0" w:space="0" w:color="auto"/>
          </w:divBdr>
        </w:div>
        <w:div w:id="1682511553">
          <w:marLeft w:val="0"/>
          <w:marRight w:val="0"/>
          <w:marTop w:val="0"/>
          <w:marBottom w:val="0"/>
          <w:divBdr>
            <w:top w:val="none" w:sz="0" w:space="0" w:color="auto"/>
            <w:left w:val="none" w:sz="0" w:space="0" w:color="auto"/>
            <w:bottom w:val="none" w:sz="0" w:space="0" w:color="auto"/>
            <w:right w:val="none" w:sz="0" w:space="0" w:color="auto"/>
          </w:divBdr>
        </w:div>
        <w:div w:id="41681158">
          <w:marLeft w:val="0"/>
          <w:marRight w:val="0"/>
          <w:marTop w:val="75"/>
          <w:marBottom w:val="0"/>
          <w:divBdr>
            <w:top w:val="none" w:sz="0" w:space="0" w:color="auto"/>
            <w:left w:val="none" w:sz="0" w:space="0" w:color="auto"/>
            <w:bottom w:val="none" w:sz="0" w:space="0" w:color="auto"/>
            <w:right w:val="none" w:sz="0" w:space="0" w:color="auto"/>
          </w:divBdr>
        </w:div>
        <w:div w:id="1091314549">
          <w:marLeft w:val="0"/>
          <w:marRight w:val="0"/>
          <w:marTop w:val="75"/>
          <w:marBottom w:val="0"/>
          <w:divBdr>
            <w:top w:val="none" w:sz="0" w:space="0" w:color="auto"/>
            <w:left w:val="none" w:sz="0" w:space="0" w:color="auto"/>
            <w:bottom w:val="none" w:sz="0" w:space="0" w:color="auto"/>
            <w:right w:val="none" w:sz="0" w:space="0" w:color="auto"/>
          </w:divBdr>
        </w:div>
        <w:div w:id="1256594235">
          <w:marLeft w:val="0"/>
          <w:marRight w:val="0"/>
          <w:marTop w:val="75"/>
          <w:marBottom w:val="0"/>
          <w:divBdr>
            <w:top w:val="none" w:sz="0" w:space="0" w:color="auto"/>
            <w:left w:val="none" w:sz="0" w:space="0" w:color="auto"/>
            <w:bottom w:val="none" w:sz="0" w:space="0" w:color="auto"/>
            <w:right w:val="none" w:sz="0" w:space="0" w:color="auto"/>
          </w:divBdr>
        </w:div>
        <w:div w:id="963073510">
          <w:marLeft w:val="0"/>
          <w:marRight w:val="0"/>
          <w:marTop w:val="75"/>
          <w:marBottom w:val="0"/>
          <w:divBdr>
            <w:top w:val="none" w:sz="0" w:space="0" w:color="auto"/>
            <w:left w:val="none" w:sz="0" w:space="0" w:color="auto"/>
            <w:bottom w:val="none" w:sz="0" w:space="0" w:color="auto"/>
            <w:right w:val="none" w:sz="0" w:space="0" w:color="auto"/>
          </w:divBdr>
        </w:div>
        <w:div w:id="154348038">
          <w:marLeft w:val="0"/>
          <w:marRight w:val="0"/>
          <w:marTop w:val="75"/>
          <w:marBottom w:val="0"/>
          <w:divBdr>
            <w:top w:val="none" w:sz="0" w:space="0" w:color="auto"/>
            <w:left w:val="none" w:sz="0" w:space="0" w:color="auto"/>
            <w:bottom w:val="none" w:sz="0" w:space="0" w:color="auto"/>
            <w:right w:val="none" w:sz="0" w:space="0" w:color="auto"/>
          </w:divBdr>
        </w:div>
        <w:div w:id="1289438113">
          <w:marLeft w:val="0"/>
          <w:marRight w:val="0"/>
          <w:marTop w:val="75"/>
          <w:marBottom w:val="0"/>
          <w:divBdr>
            <w:top w:val="none" w:sz="0" w:space="0" w:color="auto"/>
            <w:left w:val="none" w:sz="0" w:space="0" w:color="auto"/>
            <w:bottom w:val="none" w:sz="0" w:space="0" w:color="auto"/>
            <w:right w:val="none" w:sz="0" w:space="0" w:color="auto"/>
          </w:divBdr>
        </w:div>
        <w:div w:id="619923501">
          <w:marLeft w:val="0"/>
          <w:marRight w:val="0"/>
          <w:marTop w:val="75"/>
          <w:marBottom w:val="0"/>
          <w:divBdr>
            <w:top w:val="none" w:sz="0" w:space="0" w:color="auto"/>
            <w:left w:val="none" w:sz="0" w:space="0" w:color="auto"/>
            <w:bottom w:val="none" w:sz="0" w:space="0" w:color="auto"/>
            <w:right w:val="none" w:sz="0" w:space="0" w:color="auto"/>
          </w:divBdr>
        </w:div>
        <w:div w:id="32586512">
          <w:marLeft w:val="0"/>
          <w:marRight w:val="0"/>
          <w:marTop w:val="75"/>
          <w:marBottom w:val="0"/>
          <w:divBdr>
            <w:top w:val="none" w:sz="0" w:space="0" w:color="auto"/>
            <w:left w:val="none" w:sz="0" w:space="0" w:color="auto"/>
            <w:bottom w:val="none" w:sz="0" w:space="0" w:color="auto"/>
            <w:right w:val="none" w:sz="0" w:space="0" w:color="auto"/>
          </w:divBdr>
        </w:div>
        <w:div w:id="1805348417">
          <w:marLeft w:val="0"/>
          <w:marRight w:val="0"/>
          <w:marTop w:val="75"/>
          <w:marBottom w:val="0"/>
          <w:divBdr>
            <w:top w:val="none" w:sz="0" w:space="0" w:color="auto"/>
            <w:left w:val="none" w:sz="0" w:space="0" w:color="auto"/>
            <w:bottom w:val="none" w:sz="0" w:space="0" w:color="auto"/>
            <w:right w:val="none" w:sz="0" w:space="0" w:color="auto"/>
          </w:divBdr>
        </w:div>
        <w:div w:id="1356999709">
          <w:marLeft w:val="0"/>
          <w:marRight w:val="0"/>
          <w:marTop w:val="75"/>
          <w:marBottom w:val="0"/>
          <w:divBdr>
            <w:top w:val="none" w:sz="0" w:space="0" w:color="auto"/>
            <w:left w:val="none" w:sz="0" w:space="0" w:color="auto"/>
            <w:bottom w:val="none" w:sz="0" w:space="0" w:color="auto"/>
            <w:right w:val="none" w:sz="0" w:space="0" w:color="auto"/>
          </w:divBdr>
        </w:div>
        <w:div w:id="1984581464">
          <w:marLeft w:val="0"/>
          <w:marRight w:val="0"/>
          <w:marTop w:val="75"/>
          <w:marBottom w:val="0"/>
          <w:divBdr>
            <w:top w:val="none" w:sz="0" w:space="0" w:color="auto"/>
            <w:left w:val="none" w:sz="0" w:space="0" w:color="auto"/>
            <w:bottom w:val="none" w:sz="0" w:space="0" w:color="auto"/>
            <w:right w:val="none" w:sz="0" w:space="0" w:color="auto"/>
          </w:divBdr>
        </w:div>
        <w:div w:id="338117163">
          <w:marLeft w:val="0"/>
          <w:marRight w:val="0"/>
          <w:marTop w:val="75"/>
          <w:marBottom w:val="0"/>
          <w:divBdr>
            <w:top w:val="none" w:sz="0" w:space="0" w:color="auto"/>
            <w:left w:val="none" w:sz="0" w:space="0" w:color="auto"/>
            <w:bottom w:val="none" w:sz="0" w:space="0" w:color="auto"/>
            <w:right w:val="none" w:sz="0" w:space="0" w:color="auto"/>
          </w:divBdr>
        </w:div>
        <w:div w:id="35205143">
          <w:marLeft w:val="0"/>
          <w:marRight w:val="0"/>
          <w:marTop w:val="75"/>
          <w:marBottom w:val="0"/>
          <w:divBdr>
            <w:top w:val="none" w:sz="0" w:space="0" w:color="auto"/>
            <w:left w:val="none" w:sz="0" w:space="0" w:color="auto"/>
            <w:bottom w:val="none" w:sz="0" w:space="0" w:color="auto"/>
            <w:right w:val="none" w:sz="0" w:space="0" w:color="auto"/>
          </w:divBdr>
        </w:div>
        <w:div w:id="1779327650">
          <w:marLeft w:val="0"/>
          <w:marRight w:val="0"/>
          <w:marTop w:val="0"/>
          <w:marBottom w:val="0"/>
          <w:divBdr>
            <w:top w:val="none" w:sz="0" w:space="0" w:color="auto"/>
            <w:left w:val="none" w:sz="0" w:space="0" w:color="auto"/>
            <w:bottom w:val="none" w:sz="0" w:space="0" w:color="auto"/>
            <w:right w:val="none" w:sz="0" w:space="0" w:color="auto"/>
          </w:divBdr>
        </w:div>
        <w:div w:id="2099018032">
          <w:marLeft w:val="0"/>
          <w:marRight w:val="0"/>
          <w:marTop w:val="75"/>
          <w:marBottom w:val="0"/>
          <w:divBdr>
            <w:top w:val="none" w:sz="0" w:space="0" w:color="auto"/>
            <w:left w:val="none" w:sz="0" w:space="0" w:color="auto"/>
            <w:bottom w:val="none" w:sz="0" w:space="0" w:color="auto"/>
            <w:right w:val="none" w:sz="0" w:space="0" w:color="auto"/>
          </w:divBdr>
        </w:div>
        <w:div w:id="1673023111">
          <w:marLeft w:val="0"/>
          <w:marRight w:val="0"/>
          <w:marTop w:val="75"/>
          <w:marBottom w:val="0"/>
          <w:divBdr>
            <w:top w:val="none" w:sz="0" w:space="0" w:color="auto"/>
            <w:left w:val="none" w:sz="0" w:space="0" w:color="auto"/>
            <w:bottom w:val="none" w:sz="0" w:space="0" w:color="auto"/>
            <w:right w:val="none" w:sz="0" w:space="0" w:color="auto"/>
          </w:divBdr>
        </w:div>
        <w:div w:id="799685807">
          <w:marLeft w:val="0"/>
          <w:marRight w:val="0"/>
          <w:marTop w:val="75"/>
          <w:marBottom w:val="0"/>
          <w:divBdr>
            <w:top w:val="none" w:sz="0" w:space="0" w:color="auto"/>
            <w:left w:val="none" w:sz="0" w:space="0" w:color="auto"/>
            <w:bottom w:val="none" w:sz="0" w:space="0" w:color="auto"/>
            <w:right w:val="none" w:sz="0" w:space="0" w:color="auto"/>
          </w:divBdr>
        </w:div>
        <w:div w:id="218514639">
          <w:marLeft w:val="0"/>
          <w:marRight w:val="0"/>
          <w:marTop w:val="75"/>
          <w:marBottom w:val="0"/>
          <w:divBdr>
            <w:top w:val="none" w:sz="0" w:space="0" w:color="auto"/>
            <w:left w:val="none" w:sz="0" w:space="0" w:color="auto"/>
            <w:bottom w:val="none" w:sz="0" w:space="0" w:color="auto"/>
            <w:right w:val="none" w:sz="0" w:space="0" w:color="auto"/>
          </w:divBdr>
        </w:div>
        <w:div w:id="1610624617">
          <w:marLeft w:val="0"/>
          <w:marRight w:val="0"/>
          <w:marTop w:val="75"/>
          <w:marBottom w:val="0"/>
          <w:divBdr>
            <w:top w:val="none" w:sz="0" w:space="0" w:color="auto"/>
            <w:left w:val="none" w:sz="0" w:space="0" w:color="auto"/>
            <w:bottom w:val="none" w:sz="0" w:space="0" w:color="auto"/>
            <w:right w:val="none" w:sz="0" w:space="0" w:color="auto"/>
          </w:divBdr>
        </w:div>
        <w:div w:id="1971934550">
          <w:marLeft w:val="0"/>
          <w:marRight w:val="0"/>
          <w:marTop w:val="75"/>
          <w:marBottom w:val="0"/>
          <w:divBdr>
            <w:top w:val="none" w:sz="0" w:space="0" w:color="auto"/>
            <w:left w:val="none" w:sz="0" w:space="0" w:color="auto"/>
            <w:bottom w:val="none" w:sz="0" w:space="0" w:color="auto"/>
            <w:right w:val="none" w:sz="0" w:space="0" w:color="auto"/>
          </w:divBdr>
        </w:div>
        <w:div w:id="1832789417">
          <w:marLeft w:val="0"/>
          <w:marRight w:val="0"/>
          <w:marTop w:val="75"/>
          <w:marBottom w:val="0"/>
          <w:divBdr>
            <w:top w:val="none" w:sz="0" w:space="0" w:color="auto"/>
            <w:left w:val="none" w:sz="0" w:space="0" w:color="auto"/>
            <w:bottom w:val="none" w:sz="0" w:space="0" w:color="auto"/>
            <w:right w:val="none" w:sz="0" w:space="0" w:color="auto"/>
          </w:divBdr>
        </w:div>
        <w:div w:id="1327856762">
          <w:marLeft w:val="0"/>
          <w:marRight w:val="0"/>
          <w:marTop w:val="75"/>
          <w:marBottom w:val="0"/>
          <w:divBdr>
            <w:top w:val="none" w:sz="0" w:space="0" w:color="auto"/>
            <w:left w:val="none" w:sz="0" w:space="0" w:color="auto"/>
            <w:bottom w:val="none" w:sz="0" w:space="0" w:color="auto"/>
            <w:right w:val="none" w:sz="0" w:space="0" w:color="auto"/>
          </w:divBdr>
        </w:div>
        <w:div w:id="118300378">
          <w:marLeft w:val="0"/>
          <w:marRight w:val="0"/>
          <w:marTop w:val="75"/>
          <w:marBottom w:val="0"/>
          <w:divBdr>
            <w:top w:val="none" w:sz="0" w:space="0" w:color="auto"/>
            <w:left w:val="none" w:sz="0" w:space="0" w:color="auto"/>
            <w:bottom w:val="none" w:sz="0" w:space="0" w:color="auto"/>
            <w:right w:val="none" w:sz="0" w:space="0" w:color="auto"/>
          </w:divBdr>
        </w:div>
        <w:div w:id="810561451">
          <w:marLeft w:val="0"/>
          <w:marRight w:val="0"/>
          <w:marTop w:val="75"/>
          <w:marBottom w:val="0"/>
          <w:divBdr>
            <w:top w:val="none" w:sz="0" w:space="0" w:color="auto"/>
            <w:left w:val="none" w:sz="0" w:space="0" w:color="auto"/>
            <w:bottom w:val="none" w:sz="0" w:space="0" w:color="auto"/>
            <w:right w:val="none" w:sz="0" w:space="0" w:color="auto"/>
          </w:divBdr>
        </w:div>
        <w:div w:id="1277447439">
          <w:marLeft w:val="0"/>
          <w:marRight w:val="0"/>
          <w:marTop w:val="75"/>
          <w:marBottom w:val="0"/>
          <w:divBdr>
            <w:top w:val="none" w:sz="0" w:space="0" w:color="auto"/>
            <w:left w:val="none" w:sz="0" w:space="0" w:color="auto"/>
            <w:bottom w:val="none" w:sz="0" w:space="0" w:color="auto"/>
            <w:right w:val="none" w:sz="0" w:space="0" w:color="auto"/>
          </w:divBdr>
        </w:div>
        <w:div w:id="1757364074">
          <w:marLeft w:val="0"/>
          <w:marRight w:val="0"/>
          <w:marTop w:val="75"/>
          <w:marBottom w:val="0"/>
          <w:divBdr>
            <w:top w:val="none" w:sz="0" w:space="0" w:color="auto"/>
            <w:left w:val="none" w:sz="0" w:space="0" w:color="auto"/>
            <w:bottom w:val="none" w:sz="0" w:space="0" w:color="auto"/>
            <w:right w:val="none" w:sz="0" w:space="0" w:color="auto"/>
          </w:divBdr>
        </w:div>
        <w:div w:id="1334185122">
          <w:marLeft w:val="0"/>
          <w:marRight w:val="0"/>
          <w:marTop w:val="0"/>
          <w:marBottom w:val="0"/>
          <w:divBdr>
            <w:top w:val="none" w:sz="0" w:space="0" w:color="auto"/>
            <w:left w:val="none" w:sz="0" w:space="0" w:color="auto"/>
            <w:bottom w:val="none" w:sz="0" w:space="0" w:color="auto"/>
            <w:right w:val="none" w:sz="0" w:space="0" w:color="auto"/>
          </w:divBdr>
        </w:div>
        <w:div w:id="985863662">
          <w:marLeft w:val="0"/>
          <w:marRight w:val="0"/>
          <w:marTop w:val="75"/>
          <w:marBottom w:val="0"/>
          <w:divBdr>
            <w:top w:val="none" w:sz="0" w:space="0" w:color="auto"/>
            <w:left w:val="none" w:sz="0" w:space="0" w:color="auto"/>
            <w:bottom w:val="none" w:sz="0" w:space="0" w:color="auto"/>
            <w:right w:val="none" w:sz="0" w:space="0" w:color="auto"/>
          </w:divBdr>
        </w:div>
        <w:div w:id="1737047752">
          <w:marLeft w:val="0"/>
          <w:marRight w:val="0"/>
          <w:marTop w:val="75"/>
          <w:marBottom w:val="0"/>
          <w:divBdr>
            <w:top w:val="none" w:sz="0" w:space="0" w:color="auto"/>
            <w:left w:val="none" w:sz="0" w:space="0" w:color="auto"/>
            <w:bottom w:val="none" w:sz="0" w:space="0" w:color="auto"/>
            <w:right w:val="none" w:sz="0" w:space="0" w:color="auto"/>
          </w:divBdr>
        </w:div>
        <w:div w:id="318197941">
          <w:marLeft w:val="0"/>
          <w:marRight w:val="0"/>
          <w:marTop w:val="75"/>
          <w:marBottom w:val="0"/>
          <w:divBdr>
            <w:top w:val="none" w:sz="0" w:space="0" w:color="auto"/>
            <w:left w:val="none" w:sz="0" w:space="0" w:color="auto"/>
            <w:bottom w:val="none" w:sz="0" w:space="0" w:color="auto"/>
            <w:right w:val="none" w:sz="0" w:space="0" w:color="auto"/>
          </w:divBdr>
        </w:div>
        <w:div w:id="1421949892">
          <w:marLeft w:val="0"/>
          <w:marRight w:val="0"/>
          <w:marTop w:val="75"/>
          <w:marBottom w:val="0"/>
          <w:divBdr>
            <w:top w:val="none" w:sz="0" w:space="0" w:color="auto"/>
            <w:left w:val="none" w:sz="0" w:space="0" w:color="auto"/>
            <w:bottom w:val="none" w:sz="0" w:space="0" w:color="auto"/>
            <w:right w:val="none" w:sz="0" w:space="0" w:color="auto"/>
          </w:divBdr>
        </w:div>
        <w:div w:id="2049717676">
          <w:marLeft w:val="0"/>
          <w:marRight w:val="0"/>
          <w:marTop w:val="75"/>
          <w:marBottom w:val="0"/>
          <w:divBdr>
            <w:top w:val="none" w:sz="0" w:space="0" w:color="auto"/>
            <w:left w:val="none" w:sz="0" w:space="0" w:color="auto"/>
            <w:bottom w:val="none" w:sz="0" w:space="0" w:color="auto"/>
            <w:right w:val="none" w:sz="0" w:space="0" w:color="auto"/>
          </w:divBdr>
        </w:div>
        <w:div w:id="588320022">
          <w:marLeft w:val="0"/>
          <w:marRight w:val="0"/>
          <w:marTop w:val="75"/>
          <w:marBottom w:val="0"/>
          <w:divBdr>
            <w:top w:val="none" w:sz="0" w:space="0" w:color="auto"/>
            <w:left w:val="none" w:sz="0" w:space="0" w:color="auto"/>
            <w:bottom w:val="none" w:sz="0" w:space="0" w:color="auto"/>
            <w:right w:val="none" w:sz="0" w:space="0" w:color="auto"/>
          </w:divBdr>
        </w:div>
        <w:div w:id="67315439">
          <w:marLeft w:val="0"/>
          <w:marRight w:val="0"/>
          <w:marTop w:val="0"/>
          <w:marBottom w:val="0"/>
          <w:divBdr>
            <w:top w:val="none" w:sz="0" w:space="0" w:color="auto"/>
            <w:left w:val="none" w:sz="0" w:space="0" w:color="auto"/>
            <w:bottom w:val="none" w:sz="0" w:space="0" w:color="auto"/>
            <w:right w:val="none" w:sz="0" w:space="0" w:color="auto"/>
          </w:divBdr>
        </w:div>
        <w:div w:id="938686201">
          <w:marLeft w:val="0"/>
          <w:marRight w:val="0"/>
          <w:marTop w:val="0"/>
          <w:marBottom w:val="0"/>
          <w:divBdr>
            <w:top w:val="none" w:sz="0" w:space="0" w:color="auto"/>
            <w:left w:val="none" w:sz="0" w:space="0" w:color="auto"/>
            <w:bottom w:val="none" w:sz="0" w:space="0" w:color="auto"/>
            <w:right w:val="none" w:sz="0" w:space="0" w:color="auto"/>
          </w:divBdr>
        </w:div>
        <w:div w:id="204635053">
          <w:marLeft w:val="0"/>
          <w:marRight w:val="0"/>
          <w:marTop w:val="0"/>
          <w:marBottom w:val="0"/>
          <w:divBdr>
            <w:top w:val="none" w:sz="0" w:space="0" w:color="auto"/>
            <w:left w:val="none" w:sz="0" w:space="0" w:color="auto"/>
            <w:bottom w:val="none" w:sz="0" w:space="0" w:color="auto"/>
            <w:right w:val="none" w:sz="0" w:space="0" w:color="auto"/>
          </w:divBdr>
        </w:div>
        <w:div w:id="1298994903">
          <w:marLeft w:val="0"/>
          <w:marRight w:val="0"/>
          <w:marTop w:val="0"/>
          <w:marBottom w:val="0"/>
          <w:divBdr>
            <w:top w:val="none" w:sz="0" w:space="0" w:color="auto"/>
            <w:left w:val="none" w:sz="0" w:space="0" w:color="auto"/>
            <w:bottom w:val="none" w:sz="0" w:space="0" w:color="auto"/>
            <w:right w:val="none" w:sz="0" w:space="0" w:color="auto"/>
          </w:divBdr>
        </w:div>
        <w:div w:id="888569011">
          <w:marLeft w:val="0"/>
          <w:marRight w:val="0"/>
          <w:marTop w:val="0"/>
          <w:marBottom w:val="0"/>
          <w:divBdr>
            <w:top w:val="none" w:sz="0" w:space="0" w:color="auto"/>
            <w:left w:val="none" w:sz="0" w:space="0" w:color="auto"/>
            <w:bottom w:val="none" w:sz="0" w:space="0" w:color="auto"/>
            <w:right w:val="none" w:sz="0" w:space="0" w:color="auto"/>
          </w:divBdr>
        </w:div>
        <w:div w:id="2060743531">
          <w:marLeft w:val="0"/>
          <w:marRight w:val="0"/>
          <w:marTop w:val="0"/>
          <w:marBottom w:val="0"/>
          <w:divBdr>
            <w:top w:val="none" w:sz="0" w:space="0" w:color="auto"/>
            <w:left w:val="none" w:sz="0" w:space="0" w:color="auto"/>
            <w:bottom w:val="none" w:sz="0" w:space="0" w:color="auto"/>
            <w:right w:val="none" w:sz="0" w:space="0" w:color="auto"/>
          </w:divBdr>
        </w:div>
        <w:div w:id="68885983">
          <w:marLeft w:val="0"/>
          <w:marRight w:val="0"/>
          <w:marTop w:val="0"/>
          <w:marBottom w:val="0"/>
          <w:divBdr>
            <w:top w:val="none" w:sz="0" w:space="0" w:color="auto"/>
            <w:left w:val="none" w:sz="0" w:space="0" w:color="auto"/>
            <w:bottom w:val="none" w:sz="0" w:space="0" w:color="auto"/>
            <w:right w:val="none" w:sz="0" w:space="0" w:color="auto"/>
          </w:divBdr>
        </w:div>
        <w:div w:id="243609220">
          <w:marLeft w:val="0"/>
          <w:marRight w:val="0"/>
          <w:marTop w:val="0"/>
          <w:marBottom w:val="0"/>
          <w:divBdr>
            <w:top w:val="none" w:sz="0" w:space="0" w:color="auto"/>
            <w:left w:val="none" w:sz="0" w:space="0" w:color="auto"/>
            <w:bottom w:val="none" w:sz="0" w:space="0" w:color="auto"/>
            <w:right w:val="none" w:sz="0" w:space="0" w:color="auto"/>
          </w:divBdr>
        </w:div>
        <w:div w:id="399982987">
          <w:marLeft w:val="0"/>
          <w:marRight w:val="0"/>
          <w:marTop w:val="0"/>
          <w:marBottom w:val="0"/>
          <w:divBdr>
            <w:top w:val="none" w:sz="0" w:space="0" w:color="auto"/>
            <w:left w:val="none" w:sz="0" w:space="0" w:color="auto"/>
            <w:bottom w:val="none" w:sz="0" w:space="0" w:color="auto"/>
            <w:right w:val="none" w:sz="0" w:space="0" w:color="auto"/>
          </w:divBdr>
        </w:div>
        <w:div w:id="186216125">
          <w:marLeft w:val="0"/>
          <w:marRight w:val="0"/>
          <w:marTop w:val="0"/>
          <w:marBottom w:val="0"/>
          <w:divBdr>
            <w:top w:val="none" w:sz="0" w:space="0" w:color="auto"/>
            <w:left w:val="none" w:sz="0" w:space="0" w:color="auto"/>
            <w:bottom w:val="none" w:sz="0" w:space="0" w:color="auto"/>
            <w:right w:val="none" w:sz="0" w:space="0" w:color="auto"/>
          </w:divBdr>
        </w:div>
        <w:div w:id="2065374224">
          <w:marLeft w:val="0"/>
          <w:marRight w:val="0"/>
          <w:marTop w:val="0"/>
          <w:marBottom w:val="0"/>
          <w:divBdr>
            <w:top w:val="none" w:sz="0" w:space="0" w:color="auto"/>
            <w:left w:val="none" w:sz="0" w:space="0" w:color="auto"/>
            <w:bottom w:val="none" w:sz="0" w:space="0" w:color="auto"/>
            <w:right w:val="none" w:sz="0" w:space="0" w:color="auto"/>
          </w:divBdr>
        </w:div>
        <w:div w:id="651909409">
          <w:marLeft w:val="0"/>
          <w:marRight w:val="0"/>
          <w:marTop w:val="0"/>
          <w:marBottom w:val="0"/>
          <w:divBdr>
            <w:top w:val="none" w:sz="0" w:space="0" w:color="auto"/>
            <w:left w:val="none" w:sz="0" w:space="0" w:color="auto"/>
            <w:bottom w:val="none" w:sz="0" w:space="0" w:color="auto"/>
            <w:right w:val="none" w:sz="0" w:space="0" w:color="auto"/>
          </w:divBdr>
        </w:div>
        <w:div w:id="1529296348">
          <w:marLeft w:val="0"/>
          <w:marRight w:val="0"/>
          <w:marTop w:val="0"/>
          <w:marBottom w:val="0"/>
          <w:divBdr>
            <w:top w:val="none" w:sz="0" w:space="0" w:color="auto"/>
            <w:left w:val="none" w:sz="0" w:space="0" w:color="auto"/>
            <w:bottom w:val="none" w:sz="0" w:space="0" w:color="auto"/>
            <w:right w:val="none" w:sz="0" w:space="0" w:color="auto"/>
          </w:divBdr>
        </w:div>
        <w:div w:id="1388994427">
          <w:marLeft w:val="0"/>
          <w:marRight w:val="0"/>
          <w:marTop w:val="0"/>
          <w:marBottom w:val="0"/>
          <w:divBdr>
            <w:top w:val="none" w:sz="0" w:space="0" w:color="auto"/>
            <w:left w:val="none" w:sz="0" w:space="0" w:color="auto"/>
            <w:bottom w:val="none" w:sz="0" w:space="0" w:color="auto"/>
            <w:right w:val="none" w:sz="0" w:space="0" w:color="auto"/>
          </w:divBdr>
        </w:div>
        <w:div w:id="665935837">
          <w:marLeft w:val="0"/>
          <w:marRight w:val="0"/>
          <w:marTop w:val="0"/>
          <w:marBottom w:val="0"/>
          <w:divBdr>
            <w:top w:val="none" w:sz="0" w:space="0" w:color="auto"/>
            <w:left w:val="none" w:sz="0" w:space="0" w:color="auto"/>
            <w:bottom w:val="none" w:sz="0" w:space="0" w:color="auto"/>
            <w:right w:val="none" w:sz="0" w:space="0" w:color="auto"/>
          </w:divBdr>
        </w:div>
        <w:div w:id="942305608">
          <w:marLeft w:val="0"/>
          <w:marRight w:val="0"/>
          <w:marTop w:val="0"/>
          <w:marBottom w:val="0"/>
          <w:divBdr>
            <w:top w:val="none" w:sz="0" w:space="0" w:color="auto"/>
            <w:left w:val="none" w:sz="0" w:space="0" w:color="auto"/>
            <w:bottom w:val="none" w:sz="0" w:space="0" w:color="auto"/>
            <w:right w:val="none" w:sz="0" w:space="0" w:color="auto"/>
          </w:divBdr>
        </w:div>
        <w:div w:id="207839745">
          <w:marLeft w:val="0"/>
          <w:marRight w:val="0"/>
          <w:marTop w:val="0"/>
          <w:marBottom w:val="0"/>
          <w:divBdr>
            <w:top w:val="none" w:sz="0" w:space="0" w:color="auto"/>
            <w:left w:val="none" w:sz="0" w:space="0" w:color="auto"/>
            <w:bottom w:val="none" w:sz="0" w:space="0" w:color="auto"/>
            <w:right w:val="none" w:sz="0" w:space="0" w:color="auto"/>
          </w:divBdr>
        </w:div>
        <w:div w:id="1403797429">
          <w:marLeft w:val="0"/>
          <w:marRight w:val="0"/>
          <w:marTop w:val="0"/>
          <w:marBottom w:val="0"/>
          <w:divBdr>
            <w:top w:val="none" w:sz="0" w:space="0" w:color="auto"/>
            <w:left w:val="none" w:sz="0" w:space="0" w:color="auto"/>
            <w:bottom w:val="none" w:sz="0" w:space="0" w:color="auto"/>
            <w:right w:val="none" w:sz="0" w:space="0" w:color="auto"/>
          </w:divBdr>
        </w:div>
        <w:div w:id="453910786">
          <w:marLeft w:val="0"/>
          <w:marRight w:val="0"/>
          <w:marTop w:val="0"/>
          <w:marBottom w:val="0"/>
          <w:divBdr>
            <w:top w:val="none" w:sz="0" w:space="0" w:color="auto"/>
            <w:left w:val="none" w:sz="0" w:space="0" w:color="auto"/>
            <w:bottom w:val="none" w:sz="0" w:space="0" w:color="auto"/>
            <w:right w:val="none" w:sz="0" w:space="0" w:color="auto"/>
          </w:divBdr>
        </w:div>
        <w:div w:id="1687251559">
          <w:marLeft w:val="0"/>
          <w:marRight w:val="0"/>
          <w:marTop w:val="0"/>
          <w:marBottom w:val="0"/>
          <w:divBdr>
            <w:top w:val="none" w:sz="0" w:space="0" w:color="auto"/>
            <w:left w:val="none" w:sz="0" w:space="0" w:color="auto"/>
            <w:bottom w:val="none" w:sz="0" w:space="0" w:color="auto"/>
            <w:right w:val="none" w:sz="0" w:space="0" w:color="auto"/>
          </w:divBdr>
        </w:div>
        <w:div w:id="390538804">
          <w:marLeft w:val="0"/>
          <w:marRight w:val="0"/>
          <w:marTop w:val="0"/>
          <w:marBottom w:val="0"/>
          <w:divBdr>
            <w:top w:val="none" w:sz="0" w:space="0" w:color="auto"/>
            <w:left w:val="none" w:sz="0" w:space="0" w:color="auto"/>
            <w:bottom w:val="none" w:sz="0" w:space="0" w:color="auto"/>
            <w:right w:val="none" w:sz="0" w:space="0" w:color="auto"/>
          </w:divBdr>
        </w:div>
        <w:div w:id="454911561">
          <w:marLeft w:val="0"/>
          <w:marRight w:val="0"/>
          <w:marTop w:val="0"/>
          <w:marBottom w:val="0"/>
          <w:divBdr>
            <w:top w:val="none" w:sz="0" w:space="0" w:color="auto"/>
            <w:left w:val="none" w:sz="0" w:space="0" w:color="auto"/>
            <w:bottom w:val="none" w:sz="0" w:space="0" w:color="auto"/>
            <w:right w:val="none" w:sz="0" w:space="0" w:color="auto"/>
          </w:divBdr>
        </w:div>
        <w:div w:id="627131319">
          <w:marLeft w:val="0"/>
          <w:marRight w:val="0"/>
          <w:marTop w:val="0"/>
          <w:marBottom w:val="0"/>
          <w:divBdr>
            <w:top w:val="none" w:sz="0" w:space="0" w:color="auto"/>
            <w:left w:val="none" w:sz="0" w:space="0" w:color="auto"/>
            <w:bottom w:val="none" w:sz="0" w:space="0" w:color="auto"/>
            <w:right w:val="none" w:sz="0" w:space="0" w:color="auto"/>
          </w:divBdr>
        </w:div>
        <w:div w:id="1885362263">
          <w:marLeft w:val="0"/>
          <w:marRight w:val="0"/>
          <w:marTop w:val="0"/>
          <w:marBottom w:val="0"/>
          <w:divBdr>
            <w:top w:val="none" w:sz="0" w:space="0" w:color="auto"/>
            <w:left w:val="none" w:sz="0" w:space="0" w:color="auto"/>
            <w:bottom w:val="none" w:sz="0" w:space="0" w:color="auto"/>
            <w:right w:val="none" w:sz="0" w:space="0" w:color="auto"/>
          </w:divBdr>
        </w:div>
        <w:div w:id="308945678">
          <w:marLeft w:val="0"/>
          <w:marRight w:val="0"/>
          <w:marTop w:val="0"/>
          <w:marBottom w:val="0"/>
          <w:divBdr>
            <w:top w:val="none" w:sz="0" w:space="0" w:color="auto"/>
            <w:left w:val="none" w:sz="0" w:space="0" w:color="auto"/>
            <w:bottom w:val="none" w:sz="0" w:space="0" w:color="auto"/>
            <w:right w:val="none" w:sz="0" w:space="0" w:color="auto"/>
          </w:divBdr>
        </w:div>
        <w:div w:id="1755930476">
          <w:marLeft w:val="0"/>
          <w:marRight w:val="0"/>
          <w:marTop w:val="0"/>
          <w:marBottom w:val="0"/>
          <w:divBdr>
            <w:top w:val="none" w:sz="0" w:space="0" w:color="auto"/>
            <w:left w:val="none" w:sz="0" w:space="0" w:color="auto"/>
            <w:bottom w:val="none" w:sz="0" w:space="0" w:color="auto"/>
            <w:right w:val="none" w:sz="0" w:space="0" w:color="auto"/>
          </w:divBdr>
        </w:div>
        <w:div w:id="1168129738">
          <w:marLeft w:val="0"/>
          <w:marRight w:val="0"/>
          <w:marTop w:val="0"/>
          <w:marBottom w:val="0"/>
          <w:divBdr>
            <w:top w:val="none" w:sz="0" w:space="0" w:color="auto"/>
            <w:left w:val="none" w:sz="0" w:space="0" w:color="auto"/>
            <w:bottom w:val="none" w:sz="0" w:space="0" w:color="auto"/>
            <w:right w:val="none" w:sz="0" w:space="0" w:color="auto"/>
          </w:divBdr>
        </w:div>
        <w:div w:id="1514101818">
          <w:marLeft w:val="0"/>
          <w:marRight w:val="0"/>
          <w:marTop w:val="0"/>
          <w:marBottom w:val="0"/>
          <w:divBdr>
            <w:top w:val="none" w:sz="0" w:space="0" w:color="auto"/>
            <w:left w:val="none" w:sz="0" w:space="0" w:color="auto"/>
            <w:bottom w:val="none" w:sz="0" w:space="0" w:color="auto"/>
            <w:right w:val="none" w:sz="0" w:space="0" w:color="auto"/>
          </w:divBdr>
        </w:div>
        <w:div w:id="1331177285">
          <w:marLeft w:val="0"/>
          <w:marRight w:val="0"/>
          <w:marTop w:val="0"/>
          <w:marBottom w:val="0"/>
          <w:divBdr>
            <w:top w:val="none" w:sz="0" w:space="0" w:color="auto"/>
            <w:left w:val="none" w:sz="0" w:space="0" w:color="auto"/>
            <w:bottom w:val="none" w:sz="0" w:space="0" w:color="auto"/>
            <w:right w:val="none" w:sz="0" w:space="0" w:color="auto"/>
          </w:divBdr>
        </w:div>
        <w:div w:id="305009198">
          <w:marLeft w:val="0"/>
          <w:marRight w:val="0"/>
          <w:marTop w:val="0"/>
          <w:marBottom w:val="0"/>
          <w:divBdr>
            <w:top w:val="none" w:sz="0" w:space="0" w:color="auto"/>
            <w:left w:val="none" w:sz="0" w:space="0" w:color="auto"/>
            <w:bottom w:val="none" w:sz="0" w:space="0" w:color="auto"/>
            <w:right w:val="none" w:sz="0" w:space="0" w:color="auto"/>
          </w:divBdr>
        </w:div>
        <w:div w:id="16397051">
          <w:marLeft w:val="0"/>
          <w:marRight w:val="0"/>
          <w:marTop w:val="0"/>
          <w:marBottom w:val="0"/>
          <w:divBdr>
            <w:top w:val="none" w:sz="0" w:space="0" w:color="auto"/>
            <w:left w:val="none" w:sz="0" w:space="0" w:color="auto"/>
            <w:bottom w:val="none" w:sz="0" w:space="0" w:color="auto"/>
            <w:right w:val="none" w:sz="0" w:space="0" w:color="auto"/>
          </w:divBdr>
        </w:div>
        <w:div w:id="1896892600">
          <w:marLeft w:val="0"/>
          <w:marRight w:val="0"/>
          <w:marTop w:val="0"/>
          <w:marBottom w:val="0"/>
          <w:divBdr>
            <w:top w:val="none" w:sz="0" w:space="0" w:color="auto"/>
            <w:left w:val="none" w:sz="0" w:space="0" w:color="auto"/>
            <w:bottom w:val="none" w:sz="0" w:space="0" w:color="auto"/>
            <w:right w:val="none" w:sz="0" w:space="0" w:color="auto"/>
          </w:divBdr>
        </w:div>
        <w:div w:id="1686595160">
          <w:marLeft w:val="0"/>
          <w:marRight w:val="0"/>
          <w:marTop w:val="0"/>
          <w:marBottom w:val="0"/>
          <w:divBdr>
            <w:top w:val="none" w:sz="0" w:space="0" w:color="auto"/>
            <w:left w:val="none" w:sz="0" w:space="0" w:color="auto"/>
            <w:bottom w:val="none" w:sz="0" w:space="0" w:color="auto"/>
            <w:right w:val="none" w:sz="0" w:space="0" w:color="auto"/>
          </w:divBdr>
        </w:div>
        <w:div w:id="1380013098">
          <w:marLeft w:val="0"/>
          <w:marRight w:val="0"/>
          <w:marTop w:val="0"/>
          <w:marBottom w:val="0"/>
          <w:divBdr>
            <w:top w:val="none" w:sz="0" w:space="0" w:color="auto"/>
            <w:left w:val="none" w:sz="0" w:space="0" w:color="auto"/>
            <w:bottom w:val="none" w:sz="0" w:space="0" w:color="auto"/>
            <w:right w:val="none" w:sz="0" w:space="0" w:color="auto"/>
          </w:divBdr>
        </w:div>
        <w:div w:id="1821923989">
          <w:marLeft w:val="0"/>
          <w:marRight w:val="0"/>
          <w:marTop w:val="0"/>
          <w:marBottom w:val="0"/>
          <w:divBdr>
            <w:top w:val="none" w:sz="0" w:space="0" w:color="auto"/>
            <w:left w:val="none" w:sz="0" w:space="0" w:color="auto"/>
            <w:bottom w:val="none" w:sz="0" w:space="0" w:color="auto"/>
            <w:right w:val="none" w:sz="0" w:space="0" w:color="auto"/>
          </w:divBdr>
        </w:div>
        <w:div w:id="680276633">
          <w:marLeft w:val="0"/>
          <w:marRight w:val="0"/>
          <w:marTop w:val="0"/>
          <w:marBottom w:val="0"/>
          <w:divBdr>
            <w:top w:val="none" w:sz="0" w:space="0" w:color="auto"/>
            <w:left w:val="none" w:sz="0" w:space="0" w:color="auto"/>
            <w:bottom w:val="none" w:sz="0" w:space="0" w:color="auto"/>
            <w:right w:val="none" w:sz="0" w:space="0" w:color="auto"/>
          </w:divBdr>
        </w:div>
        <w:div w:id="820464947">
          <w:marLeft w:val="0"/>
          <w:marRight w:val="0"/>
          <w:marTop w:val="0"/>
          <w:marBottom w:val="0"/>
          <w:divBdr>
            <w:top w:val="none" w:sz="0" w:space="0" w:color="auto"/>
            <w:left w:val="none" w:sz="0" w:space="0" w:color="auto"/>
            <w:bottom w:val="none" w:sz="0" w:space="0" w:color="auto"/>
            <w:right w:val="none" w:sz="0" w:space="0" w:color="auto"/>
          </w:divBdr>
        </w:div>
        <w:div w:id="851844302">
          <w:marLeft w:val="0"/>
          <w:marRight w:val="0"/>
          <w:marTop w:val="0"/>
          <w:marBottom w:val="0"/>
          <w:divBdr>
            <w:top w:val="none" w:sz="0" w:space="0" w:color="auto"/>
            <w:left w:val="none" w:sz="0" w:space="0" w:color="auto"/>
            <w:bottom w:val="none" w:sz="0" w:space="0" w:color="auto"/>
            <w:right w:val="none" w:sz="0" w:space="0" w:color="auto"/>
          </w:divBdr>
        </w:div>
        <w:div w:id="294718159">
          <w:marLeft w:val="0"/>
          <w:marRight w:val="0"/>
          <w:marTop w:val="0"/>
          <w:marBottom w:val="0"/>
          <w:divBdr>
            <w:top w:val="none" w:sz="0" w:space="0" w:color="auto"/>
            <w:left w:val="none" w:sz="0" w:space="0" w:color="auto"/>
            <w:bottom w:val="none" w:sz="0" w:space="0" w:color="auto"/>
            <w:right w:val="none" w:sz="0" w:space="0" w:color="auto"/>
          </w:divBdr>
        </w:div>
        <w:div w:id="871378493">
          <w:marLeft w:val="0"/>
          <w:marRight w:val="0"/>
          <w:marTop w:val="0"/>
          <w:marBottom w:val="0"/>
          <w:divBdr>
            <w:top w:val="none" w:sz="0" w:space="0" w:color="auto"/>
            <w:left w:val="none" w:sz="0" w:space="0" w:color="auto"/>
            <w:bottom w:val="none" w:sz="0" w:space="0" w:color="auto"/>
            <w:right w:val="none" w:sz="0" w:space="0" w:color="auto"/>
          </w:divBdr>
        </w:div>
        <w:div w:id="2104718888">
          <w:marLeft w:val="0"/>
          <w:marRight w:val="0"/>
          <w:marTop w:val="0"/>
          <w:marBottom w:val="200"/>
          <w:divBdr>
            <w:top w:val="none" w:sz="0" w:space="0" w:color="auto"/>
            <w:left w:val="none" w:sz="0" w:space="0" w:color="auto"/>
            <w:bottom w:val="none" w:sz="0" w:space="0" w:color="auto"/>
            <w:right w:val="none" w:sz="0" w:space="0" w:color="auto"/>
          </w:divBdr>
        </w:div>
        <w:div w:id="48236168">
          <w:marLeft w:val="0"/>
          <w:marRight w:val="0"/>
          <w:marTop w:val="0"/>
          <w:marBottom w:val="0"/>
          <w:divBdr>
            <w:top w:val="none" w:sz="0" w:space="0" w:color="auto"/>
            <w:left w:val="none" w:sz="0" w:space="0" w:color="auto"/>
            <w:bottom w:val="none" w:sz="0" w:space="0" w:color="auto"/>
            <w:right w:val="none" w:sz="0" w:space="0" w:color="auto"/>
          </w:divBdr>
        </w:div>
        <w:div w:id="272322412">
          <w:marLeft w:val="0"/>
          <w:marRight w:val="0"/>
          <w:marTop w:val="0"/>
          <w:marBottom w:val="0"/>
          <w:divBdr>
            <w:top w:val="none" w:sz="0" w:space="0" w:color="auto"/>
            <w:left w:val="none" w:sz="0" w:space="0" w:color="auto"/>
            <w:bottom w:val="none" w:sz="0" w:space="0" w:color="auto"/>
            <w:right w:val="none" w:sz="0" w:space="0" w:color="auto"/>
          </w:divBdr>
        </w:div>
        <w:div w:id="326519104">
          <w:marLeft w:val="0"/>
          <w:marRight w:val="0"/>
          <w:marTop w:val="0"/>
          <w:marBottom w:val="0"/>
          <w:divBdr>
            <w:top w:val="none" w:sz="0" w:space="0" w:color="auto"/>
            <w:left w:val="none" w:sz="0" w:space="0" w:color="auto"/>
            <w:bottom w:val="none" w:sz="0" w:space="0" w:color="auto"/>
            <w:right w:val="none" w:sz="0" w:space="0" w:color="auto"/>
          </w:divBdr>
        </w:div>
        <w:div w:id="914972521">
          <w:marLeft w:val="0"/>
          <w:marRight w:val="0"/>
          <w:marTop w:val="0"/>
          <w:marBottom w:val="200"/>
          <w:divBdr>
            <w:top w:val="none" w:sz="0" w:space="0" w:color="auto"/>
            <w:left w:val="none" w:sz="0" w:space="0" w:color="auto"/>
            <w:bottom w:val="none" w:sz="0" w:space="0" w:color="auto"/>
            <w:right w:val="none" w:sz="0" w:space="0" w:color="auto"/>
          </w:divBdr>
        </w:div>
        <w:div w:id="1533572626">
          <w:marLeft w:val="0"/>
          <w:marRight w:val="0"/>
          <w:marTop w:val="0"/>
          <w:marBottom w:val="0"/>
          <w:divBdr>
            <w:top w:val="none" w:sz="0" w:space="0" w:color="auto"/>
            <w:left w:val="none" w:sz="0" w:space="0" w:color="auto"/>
            <w:bottom w:val="none" w:sz="0" w:space="0" w:color="auto"/>
            <w:right w:val="none" w:sz="0" w:space="0" w:color="auto"/>
          </w:divBdr>
        </w:div>
        <w:div w:id="965552011">
          <w:marLeft w:val="0"/>
          <w:marRight w:val="0"/>
          <w:marTop w:val="0"/>
          <w:marBottom w:val="0"/>
          <w:divBdr>
            <w:top w:val="none" w:sz="0" w:space="0" w:color="auto"/>
            <w:left w:val="none" w:sz="0" w:space="0" w:color="auto"/>
            <w:bottom w:val="none" w:sz="0" w:space="0" w:color="auto"/>
            <w:right w:val="none" w:sz="0" w:space="0" w:color="auto"/>
          </w:divBdr>
        </w:div>
        <w:div w:id="100614344">
          <w:marLeft w:val="0"/>
          <w:marRight w:val="0"/>
          <w:marTop w:val="0"/>
          <w:marBottom w:val="0"/>
          <w:divBdr>
            <w:top w:val="none" w:sz="0" w:space="0" w:color="auto"/>
            <w:left w:val="none" w:sz="0" w:space="0" w:color="auto"/>
            <w:bottom w:val="none" w:sz="0" w:space="0" w:color="auto"/>
            <w:right w:val="none" w:sz="0" w:space="0" w:color="auto"/>
          </w:divBdr>
        </w:div>
        <w:div w:id="1304773211">
          <w:marLeft w:val="0"/>
          <w:marRight w:val="0"/>
          <w:marTop w:val="0"/>
          <w:marBottom w:val="0"/>
          <w:divBdr>
            <w:top w:val="none" w:sz="0" w:space="0" w:color="auto"/>
            <w:left w:val="none" w:sz="0" w:space="0" w:color="auto"/>
            <w:bottom w:val="none" w:sz="0" w:space="0" w:color="auto"/>
            <w:right w:val="none" w:sz="0" w:space="0" w:color="auto"/>
          </w:divBdr>
        </w:div>
        <w:div w:id="1049378592">
          <w:marLeft w:val="0"/>
          <w:marRight w:val="0"/>
          <w:marTop w:val="0"/>
          <w:marBottom w:val="13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8748</Characters>
  <Application>Microsoft Office Word</Application>
  <DocSecurity>0</DocSecurity>
  <Lines>72</Lines>
  <Paragraphs>20</Paragraphs>
  <ScaleCrop>false</ScaleCrop>
  <Company/>
  <LinksUpToDate>false</LinksUpToDate>
  <CharactersWithSpaces>10262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2</cp:revision>
  <dcterms:created xsi:type="dcterms:W3CDTF">2013-01-09T07:51:00Z</dcterms:created>
  <dcterms:modified xsi:type="dcterms:W3CDTF">2013-01-09T07:51:00Z</dcterms:modified>
</cp:coreProperties>
</file>