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5" w:rsidRDefault="000E5FF5">
      <w:pPr>
        <w:pStyle w:val="Gvdemetni20"/>
        <w:framePr w:w="6595" w:h="13053" w:hRule="exact" w:wrap="none" w:vAnchor="page" w:hAnchor="page" w:x="3071" w:y="1841"/>
        <w:shd w:val="clear" w:color="auto" w:fill="auto"/>
        <w:spacing w:line="110" w:lineRule="exact"/>
        <w:ind w:right="80"/>
      </w:pPr>
    </w:p>
    <w:p w:rsidR="000E5FF5" w:rsidRDefault="007554CB">
      <w:pPr>
        <w:pStyle w:val="Balk10"/>
        <w:framePr w:w="6595" w:h="13053" w:hRule="exact" w:wrap="none" w:vAnchor="page" w:hAnchor="page" w:x="3071" w:y="1841"/>
        <w:shd w:val="clear" w:color="auto" w:fill="auto"/>
        <w:ind w:left="140"/>
      </w:pPr>
      <w:bookmarkStart w:id="0" w:name="bookmark0"/>
      <w:r>
        <w:t>BODRUM 1. İCRA MÜDÜRLÜĞÜ’NDEN TAŞINMAZIN AÇIK ARTIRMA İLANI</w:t>
      </w:r>
      <w:bookmarkEnd w:id="0"/>
    </w:p>
    <w:p w:rsidR="000E5FF5" w:rsidRDefault="007554CB">
      <w:pPr>
        <w:pStyle w:val="Gvdemetni30"/>
        <w:framePr w:w="6595" w:h="13053" w:hRule="exact" w:wrap="none" w:vAnchor="page" w:hAnchor="page" w:x="3071" w:y="1841"/>
        <w:shd w:val="clear" w:color="auto" w:fill="auto"/>
        <w:ind w:left="40"/>
      </w:pPr>
      <w:r>
        <w:t>Dosya No: 2011/7894 E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firstLine="100"/>
      </w:pPr>
      <w:r>
        <w:t>Satılmasına Karar verilen Taşınmazın Cinsi, Niteliği, Kıymeti ve Önemli Özellikleri: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numPr>
          <w:ilvl w:val="0"/>
          <w:numId w:val="1"/>
        </w:numPr>
        <w:shd w:val="clear" w:color="auto" w:fill="auto"/>
        <w:tabs>
          <w:tab w:val="left" w:pos="323"/>
        </w:tabs>
        <w:ind w:left="40" w:right="400" w:firstLine="100"/>
      </w:pPr>
      <w:r>
        <w:rPr>
          <w:rStyle w:val="GvdemetniKaln0ptbolukbraklyor"/>
        </w:rPr>
        <w:t xml:space="preserve">Tapu Kaydı: </w:t>
      </w:r>
      <w:r>
        <w:t xml:space="preserve">MUĞLA, BODRUM, ORTAKENT KÖYÜ, KEMER MEVKİİ, 183 ADA, 2 PARSELDE KAYITLI, </w:t>
      </w:r>
      <w:r>
        <w:t>5.652,45 M2 YÜZÖLÇÜMLÜ ARSA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right="400" w:firstLine="100"/>
      </w:pPr>
      <w:r>
        <w:rPr>
          <w:rStyle w:val="GvdemetniKaln0ptbolukbraklyor"/>
        </w:rPr>
        <w:t xml:space="preserve">Hali Hazır </w:t>
      </w:r>
      <w:proofErr w:type="spellStart"/>
      <w:r>
        <w:rPr>
          <w:rStyle w:val="GvdemetniKaln0ptbolukbraklyor"/>
        </w:rPr>
        <w:t>Djurumu</w:t>
      </w:r>
      <w:proofErr w:type="spellEnd"/>
      <w:r>
        <w:rPr>
          <w:rStyle w:val="GvdemetniKaln0ptbolukbraklyor"/>
        </w:rPr>
        <w:t xml:space="preserve">: </w:t>
      </w:r>
      <w:r>
        <w:t xml:space="preserve">Toplam 5652,45 m2 yüzölçümlü konu taşınmaz Bodrum İlçesi, </w:t>
      </w:r>
      <w:proofErr w:type="spellStart"/>
      <w:r>
        <w:t>Ortakent</w:t>
      </w:r>
      <w:proofErr w:type="spellEnd"/>
      <w:r>
        <w:t xml:space="preserve"> Köyü, Kemer Mevkiinde, </w:t>
      </w:r>
      <w:proofErr w:type="spellStart"/>
      <w:r>
        <w:t>Ortakent</w:t>
      </w:r>
      <w:proofErr w:type="spellEnd"/>
      <w:r>
        <w:t>-</w:t>
      </w:r>
      <w:proofErr w:type="spellStart"/>
      <w:r>
        <w:t>Turgutreis</w:t>
      </w:r>
      <w:proofErr w:type="spellEnd"/>
      <w:r>
        <w:t xml:space="preserve"> karayolu üzerinde bulunmaktadır. Arsa vasfında olan taşınmaz yola cepheli kalmaktadır. Arazi geome</w:t>
      </w:r>
      <w:r>
        <w:t xml:space="preserve">trisi dikdörtgen şeklinde olup parsel arazisi karayolu cephesinde yol kotundadır. Arka kısımlar ise yola doğru % 20-25 oranlarında eğimli olup </w:t>
      </w:r>
      <w:proofErr w:type="spellStart"/>
      <w:r>
        <w:t>Ortakent</w:t>
      </w:r>
      <w:proofErr w:type="spellEnd"/>
      <w:r>
        <w:t xml:space="preserve"> Belediyesine 2,5 km. Bodrum merkeze 15 km mesafede yer almaktadır. Parselin arka cephesi de imar yoluna </w:t>
      </w:r>
      <w:r>
        <w:t xml:space="preserve">cepheli olup bu yol henüz açılmamıştır. Keşif tarihi itibariyle yapılan incelemede konu parsel üzerinde karayolu cephesinde 60 m2’lik tek katlı ahşap-demir </w:t>
      </w:r>
      <w:proofErr w:type="gramStart"/>
      <w:r>
        <w:t>konstrüksiyon</w:t>
      </w:r>
      <w:proofErr w:type="gramEnd"/>
      <w:r>
        <w:t xml:space="preserve"> sistemlerle imal edilmiş bir yapının kafeterya olarak düzenlendiği, 120 m2'lik tek kat</w:t>
      </w:r>
      <w:r>
        <w:t xml:space="preserve">lı üzeri </w:t>
      </w:r>
      <w:proofErr w:type="spellStart"/>
      <w:r>
        <w:t>demirkonstrüksiyon</w:t>
      </w:r>
      <w:proofErr w:type="spellEnd"/>
      <w:r>
        <w:t xml:space="preserve"> sis</w:t>
      </w:r>
      <w:r>
        <w:softHyphen/>
        <w:t xml:space="preserve">temlerle kapatılmış bir yapının lokanta olarak düzenlendiği, lokantaya ait 20 m2'lik tek katlı bir müştemilatın üzerinin demir konstrüksiyon sistemlerle kapatılmış olduğu. </w:t>
      </w:r>
      <w:proofErr w:type="gramStart"/>
      <w:r>
        <w:t>Tabanda 250 m2'lik tek katlı bir betonarme bir yapın</w:t>
      </w:r>
      <w:r>
        <w:t>ın ise keşif tarihi itibariyle Honda Marina Servisi işletmesi olarak kul</w:t>
      </w:r>
      <w:r>
        <w:softHyphen/>
        <w:t>lanıldığı, Yol cephesindeki bu müştemilatların arka kısmında yine tek katlı yığma olarak imal edilmiş 75 m2'lik yapının salon-mutfak 2 yatak odası, banyo-</w:t>
      </w:r>
      <w:proofErr w:type="spellStart"/>
      <w:r>
        <w:t>wc</w:t>
      </w:r>
      <w:proofErr w:type="spellEnd"/>
      <w:r>
        <w:t xml:space="preserve"> bölümlerinden oluşan konut</w:t>
      </w:r>
      <w:r>
        <w:t xml:space="preserve"> olarak düzen</w:t>
      </w:r>
      <w:r>
        <w:softHyphen/>
        <w:t xml:space="preserve">lendiği, müştemilatlar arasında teraslama taş </w:t>
      </w:r>
      <w:proofErr w:type="spellStart"/>
      <w:r>
        <w:t>duvarlann</w:t>
      </w:r>
      <w:proofErr w:type="spellEnd"/>
      <w:r>
        <w:t xml:space="preserve"> yapıldığı görülmüştür. </w:t>
      </w:r>
      <w:proofErr w:type="gramEnd"/>
      <w:r>
        <w:t>Konu parselinde üz</w:t>
      </w:r>
      <w:r>
        <w:softHyphen/>
        <w:t>erinde yer aldığı Bodrum-</w:t>
      </w:r>
      <w:proofErr w:type="spellStart"/>
      <w:r>
        <w:t>Turgutreis</w:t>
      </w:r>
      <w:proofErr w:type="spellEnd"/>
      <w:r>
        <w:t xml:space="preserve"> karayolu üzerinde yer alan parsellerin genel olarak ticari amaçla kullanıldığı çevre ve komşu parseller üzer</w:t>
      </w:r>
      <w:r>
        <w:t>inde konut, inşaat malzemeleri stok ve satış noktaları, atö</w:t>
      </w:r>
      <w:r>
        <w:softHyphen/>
        <w:t xml:space="preserve">lye, </w:t>
      </w:r>
      <w:proofErr w:type="spellStart"/>
      <w:proofErr w:type="gramStart"/>
      <w:r>
        <w:t>benziklik</w:t>
      </w:r>
      <w:proofErr w:type="spellEnd"/>
      <w:r>
        <w:t>.depo</w:t>
      </w:r>
      <w:proofErr w:type="gramEnd"/>
      <w:r>
        <w:t xml:space="preserve"> amaçlı yapılaşmalar bulunmakta olup bu tür ticari amaçlar için konu parsel kon</w:t>
      </w:r>
      <w:r>
        <w:softHyphen/>
        <w:t xml:space="preserve">um olarak tercih edilen bir noktada yer almaktadır. </w:t>
      </w:r>
      <w:proofErr w:type="spellStart"/>
      <w:r>
        <w:t>Ortakent</w:t>
      </w:r>
      <w:proofErr w:type="spellEnd"/>
      <w:r>
        <w:t xml:space="preserve"> Belediyesinin mevcut tüm altyapı hiz</w:t>
      </w:r>
      <w:r>
        <w:t>metlerinden faydalanmakla olan bir arsadır.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right="400" w:firstLine="100"/>
      </w:pPr>
      <w:r>
        <w:rPr>
          <w:rStyle w:val="GvdemetniKaln0ptbolukbraklyor"/>
        </w:rPr>
        <w:t xml:space="preserve">İmar Durumu: </w:t>
      </w:r>
      <w:r>
        <w:t xml:space="preserve">Dosyasında bulunan </w:t>
      </w:r>
      <w:proofErr w:type="spellStart"/>
      <w:r>
        <w:t>Ortakent</w:t>
      </w:r>
      <w:proofErr w:type="spellEnd"/>
      <w:r>
        <w:t xml:space="preserve"> Belediyesinden 02.04.2012 tarih </w:t>
      </w:r>
      <w:proofErr w:type="gramStart"/>
      <w:r>
        <w:t>..</w:t>
      </w:r>
      <w:proofErr w:type="gramEnd"/>
      <w:r>
        <w:t>„ /832 sayılı yazı</w:t>
      </w:r>
      <w:r>
        <w:softHyphen/>
        <w:t>da konu 183 ada 2 parselin 29/01/2011 tarih ve 6876 sayılı Muğla Kültür Varlıklarım Koruma Bölge Kurulunun ve 18/03/20</w:t>
      </w:r>
      <w:r>
        <w:t xml:space="preserve">11 tarih 32 sayılı </w:t>
      </w:r>
      <w:proofErr w:type="spellStart"/>
      <w:r>
        <w:t>Ortakent</w:t>
      </w:r>
      <w:proofErr w:type="spellEnd"/>
      <w:r>
        <w:t xml:space="preserve"> Belediyesi meclis kararı ile kabul edilen 1/1000 ölçekli koruma </w:t>
      </w:r>
      <w:r>
        <w:rPr>
          <w:rStyle w:val="Gvdemetnitalik"/>
        </w:rPr>
        <w:t>amaçlı</w:t>
      </w:r>
      <w:r>
        <w:t xml:space="preserve"> uygulama imar planında % 15 yoğunluklu konut alanında kaldığı % 15 yoğun</w:t>
      </w:r>
      <w:r>
        <w:softHyphen/>
        <w:t xml:space="preserve">luklu konut alanında maksimum bina yüksekliği 6,50 m </w:t>
      </w:r>
      <w:proofErr w:type="spellStart"/>
      <w:r>
        <w:t>minumum</w:t>
      </w:r>
      <w:proofErr w:type="spellEnd"/>
      <w:r>
        <w:t xml:space="preserve"> ifraz 1000 m2, bina tab</w:t>
      </w:r>
      <w:r>
        <w:t>an alanı en fazla 120m2 olduğu belirtilmiştir.</w:t>
      </w:r>
    </w:p>
    <w:p w:rsidR="000E5FF5" w:rsidRDefault="007554CB">
      <w:pPr>
        <w:pStyle w:val="Gvdemetni30"/>
        <w:framePr w:w="6595" w:h="13053" w:hRule="exact" w:wrap="none" w:vAnchor="page" w:hAnchor="page" w:x="3071" w:y="1841"/>
        <w:shd w:val="clear" w:color="auto" w:fill="auto"/>
        <w:ind w:left="40"/>
      </w:pPr>
      <w:r>
        <w:t xml:space="preserve">Muhammen Bedeli; </w:t>
      </w:r>
      <w:r>
        <w:rPr>
          <w:rStyle w:val="Gvdemetni3KalnDeil0ptbolukbraklyor"/>
        </w:rPr>
        <w:t xml:space="preserve">2.826.225,00 TL </w:t>
      </w:r>
      <w:r>
        <w:t xml:space="preserve">K.D.V Oranı: </w:t>
      </w:r>
      <w:r>
        <w:rPr>
          <w:rStyle w:val="Gvdemetni3KalnDeil0ptbolukbraklyor"/>
        </w:rPr>
        <w:t>% 18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firstLine="100"/>
      </w:pPr>
      <w:r>
        <w:rPr>
          <w:rStyle w:val="GvdemetniKaln0ptbolukbraklyor"/>
        </w:rPr>
        <w:t xml:space="preserve">Satış Saati: </w:t>
      </w:r>
      <w:proofErr w:type="gramStart"/>
      <w:r>
        <w:t>09:00</w:t>
      </w:r>
      <w:proofErr w:type="gramEnd"/>
      <w:r>
        <w:t xml:space="preserve"> - 09:05 Arası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right="400" w:firstLine="100"/>
      </w:pPr>
      <w:r>
        <w:rPr>
          <w:rStyle w:val="GvdemetniKaln0ptbolukbraklyor"/>
        </w:rPr>
        <w:t xml:space="preserve">Satış Şartları: </w:t>
      </w:r>
      <w:r>
        <w:t>1- Satış 10.12.2012 günü yukarıda belirtilen saatler arasında Bodrum 1. icra Müdürlüğü önü (Koridor) - Bodrum</w:t>
      </w:r>
      <w:r>
        <w:t xml:space="preserve"> Adliyesi </w:t>
      </w:r>
      <w:proofErr w:type="spellStart"/>
      <w:r>
        <w:t>Bitez</w:t>
      </w:r>
      <w:proofErr w:type="spellEnd"/>
      <w:r>
        <w:t xml:space="preserve"> - BODRUM adresinde açık artırma suretiyle yapıla</w:t>
      </w:r>
      <w:r>
        <w:softHyphen/>
        <w:t xml:space="preserve">caktır. Bu artırmada tahmin edilen değerin </w:t>
      </w:r>
      <w:r>
        <w:rPr>
          <w:rStyle w:val="Gvdemetnitalik"/>
        </w:rPr>
        <w:t>%</w:t>
      </w:r>
      <w:r>
        <w:t xml:space="preserve"> 60'ını ve rüçhanlı alacaklılar varsa alacakları toplamını ve satış ve paylaştırma giderlerini geçmek şartı ile ihale olunur. Böyle bir bedele alıc</w:t>
      </w:r>
      <w:r>
        <w:t xml:space="preserve">ı çıkmazsa en çok artıranın taahhüdü saklı kalmak </w:t>
      </w:r>
      <w:proofErr w:type="spellStart"/>
      <w:r>
        <w:t>şartiyle</w:t>
      </w:r>
      <w:proofErr w:type="spellEnd"/>
      <w:r>
        <w:t xml:space="preserve"> 20.12.2012 günü Bodrum 1. icra Müdürlüğü Önü (Koridor) - Bodrum Adliyesi </w:t>
      </w:r>
      <w:proofErr w:type="spellStart"/>
      <w:r>
        <w:t>Bitez</w:t>
      </w:r>
      <w:proofErr w:type="spellEnd"/>
      <w:r>
        <w:t xml:space="preserve"> - BODRUM adresinde yukarıda belirtilen saatler arasında ikinci artırmaya çıkarılacaktır. Bu artırmada da rüçhanlı alac</w:t>
      </w:r>
      <w:r>
        <w:t xml:space="preserve">aklıların alacağını ve satış giderlerini geçmesi şartıyla en çok artırana ihale olunur. Şu kadar ki, artırma bedelinin malın tahmin edilen kıymetinin </w:t>
      </w:r>
      <w:r>
        <w:rPr>
          <w:rStyle w:val="Gvdemetnitalik"/>
        </w:rPr>
        <w:t xml:space="preserve">% </w:t>
      </w:r>
      <w:r>
        <w:t>40’ını bulması ve satış isteyenin alacağına rüçhanı olan alacakların toplamından fazla olması ve bun</w:t>
      </w:r>
      <w:r>
        <w:softHyphen/>
        <w:t>dan</w:t>
      </w:r>
      <w:r>
        <w:t xml:space="preserve"> başka paraya </w:t>
      </w:r>
      <w:r>
        <w:rPr>
          <w:rStyle w:val="Gvdemetnitalik"/>
        </w:rPr>
        <w:t>çevirme ve</w:t>
      </w:r>
      <w:r>
        <w:t xml:space="preserve"> paylaştırma masraflarını geçmesi lazımdır. Böyle fazla bedelle alıcı çık</w:t>
      </w:r>
      <w:r>
        <w:softHyphen/>
        <w:t>mazsa satış talebi düşecektir.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numPr>
          <w:ilvl w:val="0"/>
          <w:numId w:val="1"/>
        </w:numPr>
        <w:shd w:val="clear" w:color="auto" w:fill="auto"/>
        <w:tabs>
          <w:tab w:val="left" w:pos="328"/>
        </w:tabs>
        <w:ind w:left="40" w:right="400" w:firstLine="100"/>
      </w:pPr>
      <w:r>
        <w:t xml:space="preserve">Artırmaya iştirak edeceklerin, tahmin edilen kıymetin </w:t>
      </w:r>
      <w:r>
        <w:rPr>
          <w:rStyle w:val="Gvdemetnitalik"/>
        </w:rPr>
        <w:t>%</w:t>
      </w:r>
      <w:r>
        <w:t xml:space="preserve"> 20'si nispetinde Türk Lirası peşin para veya bu miktar kadar milli bir </w:t>
      </w:r>
      <w:r>
        <w:t>bankanın teminat mektubunu vermeleri lazımdır. Satış peşin para iledir.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right="400"/>
      </w:pPr>
      <w:r>
        <w:t xml:space="preserve">Alıcı istediğinde 10 günü geçmemek üzere mehil verilebilir. Tapu Harcı alıcı payı, ihale Damga Vergisi ile K.D.V. alıcıya aittir. Birikmiş vergiler ve </w:t>
      </w:r>
      <w:proofErr w:type="gramStart"/>
      <w:r>
        <w:t>Tellaliye</w:t>
      </w:r>
      <w:proofErr w:type="gramEnd"/>
      <w:r>
        <w:t xml:space="preserve"> Ücreti ve Tapu Harcı sa</w:t>
      </w:r>
      <w:r>
        <w:t>tıcı payı satış be</w:t>
      </w:r>
      <w:r>
        <w:softHyphen/>
        <w:t>delinden ödenir.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numPr>
          <w:ilvl w:val="0"/>
          <w:numId w:val="1"/>
        </w:numPr>
        <w:shd w:val="clear" w:color="auto" w:fill="auto"/>
        <w:tabs>
          <w:tab w:val="left" w:pos="338"/>
        </w:tabs>
        <w:ind w:left="40" w:right="400" w:firstLine="100"/>
      </w:pPr>
      <w:r>
        <w:t>İpotek sahibi alacaklılarla diğer ilgililerin (*) bu taşınmaz üzerindeki haklarını hususiyle faiz ve masrafa dair olan iddialarını dayanağı belgeler ile on beş gün içinde dairemize bildirmeleri Hızımdır.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/>
      </w:pPr>
      <w:r>
        <w:t>Aksi takdirde ha</w:t>
      </w:r>
      <w:r>
        <w:t>kları tapu sicili ile sabit olmadıkça paylaştırmadan hariç bırakılacaktır</w:t>
      </w:r>
      <w:proofErr w:type="gramStart"/>
      <w:r>
        <w:t>..</w:t>
      </w:r>
      <w:proofErr w:type="gramEnd"/>
    </w:p>
    <w:p w:rsidR="000E5FF5" w:rsidRDefault="007554CB">
      <w:pPr>
        <w:pStyle w:val="Gvdemetni0"/>
        <w:framePr w:w="6595" w:h="13053" w:hRule="exact" w:wrap="none" w:vAnchor="page" w:hAnchor="page" w:x="3071" w:y="1841"/>
        <w:numPr>
          <w:ilvl w:val="0"/>
          <w:numId w:val="1"/>
        </w:numPr>
        <w:shd w:val="clear" w:color="auto" w:fill="auto"/>
        <w:tabs>
          <w:tab w:val="left" w:pos="338"/>
        </w:tabs>
        <w:ind w:left="40" w:right="400" w:firstLine="100"/>
      </w:pPr>
      <w:proofErr w:type="gramStart"/>
      <w:r>
        <w:t>İhaleye katılıp daha sonra ihale bedelini yatırmamak sureti ile ihalenin feshine sebep olan tüm alıcılar ve kefilleri teklif ettikleri bedel ile son ihale bedeli arasındaki farktan</w:t>
      </w:r>
      <w:r>
        <w:t xml:space="preserve">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Dairemizce tahsil olunacak, bu fark, varsa öncelikle teminat bedelinden alınacak</w:t>
      </w:r>
      <w:r>
        <w:softHyphen/>
        <w:t>tır.</w:t>
      </w:r>
      <w:proofErr w:type="gramEnd"/>
    </w:p>
    <w:p w:rsidR="000E5FF5" w:rsidRDefault="007554CB">
      <w:pPr>
        <w:pStyle w:val="Gvdemetni0"/>
        <w:framePr w:w="6595" w:h="13053" w:hRule="exact" w:wrap="none" w:vAnchor="page" w:hAnchor="page" w:x="3071" w:y="1841"/>
        <w:numPr>
          <w:ilvl w:val="0"/>
          <w:numId w:val="1"/>
        </w:numPr>
        <w:shd w:val="clear" w:color="auto" w:fill="auto"/>
        <w:tabs>
          <w:tab w:val="left" w:pos="347"/>
        </w:tabs>
        <w:ind w:left="40" w:right="400" w:firstLine="100"/>
      </w:pPr>
      <w:r>
        <w:t xml:space="preserve">Şartname ilan tarihinden </w:t>
      </w:r>
      <w:r>
        <w:t>itibaren herkesin görebilmesi için dairede açık olup gideri verildiği takdirde isteyen alıcıya bir örneği gönderilebilir.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numPr>
          <w:ilvl w:val="0"/>
          <w:numId w:val="1"/>
        </w:numPr>
        <w:shd w:val="clear" w:color="auto" w:fill="auto"/>
        <w:tabs>
          <w:tab w:val="left" w:pos="318"/>
        </w:tabs>
        <w:ind w:left="40" w:right="400" w:firstLine="100"/>
      </w:pPr>
      <w:r>
        <w:t>Satışa iştirak edenlerin şartnameyi görmüş ve münderecatını kabul etmiş sayılacakları, başkaca bilgi almak isteyenlerin yukarıda yazıl</w:t>
      </w:r>
      <w:r>
        <w:t>ı dosya numarasıyla müdürlüğümüze başvurmaları ilan olunur.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firstLine="100"/>
      </w:pPr>
      <w:r>
        <w:t>İş bu ilan tebligat yapılamayan ilgililere tebligat yerine kaim olmak üzere ilan olunur.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firstLine="100"/>
      </w:pPr>
      <w:r>
        <w:t xml:space="preserve">(*) İlgililer tabirine irtifak hakkı </w:t>
      </w:r>
      <w:proofErr w:type="spellStart"/>
      <w:r>
        <w:t>sahipleride</w:t>
      </w:r>
      <w:proofErr w:type="spellEnd"/>
      <w:r>
        <w:t xml:space="preserve"> </w:t>
      </w:r>
      <w:proofErr w:type="gramStart"/>
      <w:r>
        <w:t>dahildir</w:t>
      </w:r>
      <w:proofErr w:type="gramEnd"/>
      <w:r>
        <w:t>.</w:t>
      </w:r>
    </w:p>
    <w:p w:rsidR="000E5FF5" w:rsidRDefault="007554CB">
      <w:pPr>
        <w:pStyle w:val="Gvdemetni0"/>
        <w:framePr w:w="6595" w:h="13053" w:hRule="exact" w:wrap="none" w:vAnchor="page" w:hAnchor="page" w:x="3071" w:y="1841"/>
        <w:shd w:val="clear" w:color="auto" w:fill="auto"/>
        <w:ind w:left="40" w:firstLine="100"/>
      </w:pPr>
      <w:proofErr w:type="gramStart"/>
      <w:r>
        <w:t>(</w:t>
      </w:r>
      <w:proofErr w:type="gramEnd"/>
      <w:r>
        <w:t>İİK. m.126</w:t>
      </w:r>
      <w:proofErr w:type="gramStart"/>
      <w:r>
        <w:t>)</w:t>
      </w:r>
      <w:proofErr w:type="gramEnd"/>
    </w:p>
    <w:p w:rsidR="000E5FF5" w:rsidRDefault="007554CB">
      <w:pPr>
        <w:pStyle w:val="Balk20"/>
        <w:framePr w:w="6595" w:h="13053" w:hRule="exact" w:wrap="none" w:vAnchor="page" w:hAnchor="page" w:x="3071" w:y="1841"/>
        <w:shd w:val="clear" w:color="auto" w:fill="auto"/>
        <w:tabs>
          <w:tab w:val="left" w:leader="underscore" w:pos="5694"/>
        </w:tabs>
        <w:ind w:left="2080" w:right="400"/>
      </w:pPr>
      <w:bookmarkStart w:id="1" w:name="bookmark1"/>
      <w:r>
        <w:rPr>
          <w:rStyle w:val="Balk2MicrosoftSansSerif7ptKaln0ptbolukbraklyor"/>
          <w:lang w:val="tr-TR"/>
        </w:rPr>
        <w:t xml:space="preserve">(B; 64990-1575) </w:t>
      </w:r>
      <w:r>
        <w:rPr>
          <w:rStyle w:val="Balk2MicrosoftSansSerif7ptKaln0ptbolukbraklyor"/>
        </w:rPr>
        <w:t>(</w:t>
      </w:r>
      <w:hyperlink r:id="rId7" w:history="1">
        <w:r>
          <w:rPr>
            <w:rStyle w:val="Kpr"/>
          </w:rPr>
          <w:t>www.bik.gov.tr</w:t>
        </w:r>
      </w:hyperlink>
      <w:r>
        <w:rPr>
          <w:rStyle w:val="Balk2MicrosoftSansSerif7ptKaln0ptbolukbraklyor"/>
        </w:rPr>
        <w:t xml:space="preserve">) </w:t>
      </w:r>
      <w:r>
        <w:t>Resmi ilanlar www.ilan.gov.</w:t>
      </w:r>
      <w:proofErr w:type="spellStart"/>
      <w:r>
        <w:t>tr’de</w:t>
      </w:r>
      <w:proofErr w:type="spellEnd"/>
      <w:r>
        <w:tab/>
      </w:r>
      <w:bookmarkEnd w:id="1"/>
    </w:p>
    <w:p w:rsidR="000E5FF5" w:rsidRDefault="000E5FF5">
      <w:pPr>
        <w:rPr>
          <w:sz w:val="2"/>
          <w:szCs w:val="2"/>
        </w:rPr>
      </w:pPr>
    </w:p>
    <w:sectPr w:rsidR="000E5FF5" w:rsidSect="000E5FF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CB" w:rsidRDefault="007554CB" w:rsidP="000E5FF5">
      <w:r>
        <w:separator/>
      </w:r>
    </w:p>
  </w:endnote>
  <w:endnote w:type="continuationSeparator" w:id="0">
    <w:p w:rsidR="007554CB" w:rsidRDefault="007554CB" w:rsidP="000E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CB" w:rsidRDefault="007554CB"/>
  </w:footnote>
  <w:footnote w:type="continuationSeparator" w:id="0">
    <w:p w:rsidR="007554CB" w:rsidRDefault="007554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763A"/>
    <w:multiLevelType w:val="multilevel"/>
    <w:tmpl w:val="C82A8DBA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5FF5"/>
    <w:rsid w:val="000C087E"/>
    <w:rsid w:val="000E5FF5"/>
    <w:rsid w:val="0075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5FF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E5FF5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0E5FF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9"/>
      <w:sz w:val="11"/>
      <w:szCs w:val="11"/>
      <w:u w:val="none"/>
    </w:rPr>
  </w:style>
  <w:style w:type="character" w:customStyle="1" w:styleId="Balk1">
    <w:name w:val="Başlık #1_"/>
    <w:basedOn w:val="VarsaylanParagrafYazTipi"/>
    <w:link w:val="Balk10"/>
    <w:rsid w:val="000E5FF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Gvdemetni3">
    <w:name w:val="Gövde metni (3)_"/>
    <w:basedOn w:val="VarsaylanParagrafYazTipi"/>
    <w:link w:val="Gvdemetni30"/>
    <w:rsid w:val="000E5FF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0E5F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0E5FF5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talik">
    <w:name w:val="Gövde metni + İtalik"/>
    <w:basedOn w:val="Gvdemetni"/>
    <w:rsid w:val="000E5FF5"/>
    <w:rPr>
      <w:i/>
      <w:iCs/>
      <w:color w:val="000000"/>
      <w:w w:val="100"/>
      <w:position w:val="0"/>
      <w:lang w:val="tr-TR"/>
    </w:rPr>
  </w:style>
  <w:style w:type="character" w:customStyle="1" w:styleId="Gvdemetni3KalnDeil0ptbolukbraklyor">
    <w:name w:val="Gövde metni (3) + Kalın Değil;0 pt boşluk bırakılıyor"/>
    <w:basedOn w:val="Gvdemetni3"/>
    <w:rsid w:val="000E5FF5"/>
    <w:rPr>
      <w:b/>
      <w:bCs/>
      <w:color w:val="000000"/>
      <w:spacing w:val="-6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0E5FF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Balk2MicrosoftSansSerif7ptKaln0ptbolukbraklyor">
    <w:name w:val="Başlık #2 + Microsoft Sans Serif;7 pt;Kalın;0 pt boşluk bırakılıyor"/>
    <w:basedOn w:val="Balk2"/>
    <w:rsid w:val="000E5FF5"/>
    <w:rPr>
      <w:rFonts w:ascii="Microsoft Sans Serif" w:eastAsia="Microsoft Sans Serif" w:hAnsi="Microsoft Sans Serif" w:cs="Microsoft Sans Serif"/>
      <w:b/>
      <w:bCs/>
      <w:color w:val="000000"/>
      <w:spacing w:val="-8"/>
      <w:w w:val="100"/>
      <w:position w:val="0"/>
      <w:sz w:val="14"/>
      <w:szCs w:val="14"/>
      <w:lang w:val="en-US"/>
    </w:rPr>
  </w:style>
  <w:style w:type="paragraph" w:customStyle="1" w:styleId="Gvdemetni20">
    <w:name w:val="Gövde metni (2)"/>
    <w:basedOn w:val="Normal"/>
    <w:link w:val="Gvdemetni2"/>
    <w:rsid w:val="000E5FF5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pacing w:val="-9"/>
      <w:sz w:val="11"/>
      <w:szCs w:val="11"/>
    </w:rPr>
  </w:style>
  <w:style w:type="paragraph" w:customStyle="1" w:styleId="Balk10">
    <w:name w:val="Başlık #1"/>
    <w:basedOn w:val="Normal"/>
    <w:link w:val="Balk1"/>
    <w:rsid w:val="000E5FF5"/>
    <w:pPr>
      <w:shd w:val="clear" w:color="auto" w:fill="FFFFFF"/>
      <w:spacing w:line="278" w:lineRule="exact"/>
      <w:jc w:val="center"/>
      <w:outlineLvl w:val="0"/>
    </w:pPr>
    <w:rPr>
      <w:rFonts w:ascii="Tahoma" w:eastAsia="Tahoma" w:hAnsi="Tahoma" w:cs="Tahoma"/>
      <w:spacing w:val="-3"/>
      <w:sz w:val="29"/>
      <w:szCs w:val="29"/>
    </w:rPr>
  </w:style>
  <w:style w:type="paragraph" w:customStyle="1" w:styleId="Gvdemetni30">
    <w:name w:val="Gövde metni (3)"/>
    <w:basedOn w:val="Normal"/>
    <w:link w:val="Gvdemetni3"/>
    <w:rsid w:val="000E5FF5"/>
    <w:pPr>
      <w:shd w:val="clear" w:color="auto" w:fill="FFFFFF"/>
      <w:spacing w:line="187" w:lineRule="exact"/>
      <w:ind w:firstLine="100"/>
      <w:jc w:val="both"/>
    </w:pPr>
    <w:rPr>
      <w:rFonts w:ascii="Microsoft Sans Serif" w:eastAsia="Microsoft Sans Serif" w:hAnsi="Microsoft Sans Serif" w:cs="Microsoft Sans Serif"/>
      <w:b/>
      <w:bCs/>
      <w:spacing w:val="-8"/>
      <w:sz w:val="14"/>
      <w:szCs w:val="14"/>
    </w:rPr>
  </w:style>
  <w:style w:type="paragraph" w:customStyle="1" w:styleId="Gvdemetni0">
    <w:name w:val="Gövde metni"/>
    <w:basedOn w:val="Normal"/>
    <w:link w:val="Gvdemetni"/>
    <w:rsid w:val="000E5FF5"/>
    <w:pPr>
      <w:shd w:val="clear" w:color="auto" w:fill="FFFFFF"/>
      <w:spacing w:line="187" w:lineRule="exact"/>
      <w:jc w:val="both"/>
    </w:pPr>
    <w:rPr>
      <w:rFonts w:ascii="Microsoft Sans Serif" w:eastAsia="Microsoft Sans Serif" w:hAnsi="Microsoft Sans Serif" w:cs="Microsoft Sans Serif"/>
      <w:spacing w:val="-6"/>
      <w:sz w:val="14"/>
      <w:szCs w:val="14"/>
    </w:rPr>
  </w:style>
  <w:style w:type="paragraph" w:customStyle="1" w:styleId="Balk20">
    <w:name w:val="Başlık #2"/>
    <w:basedOn w:val="Normal"/>
    <w:link w:val="Balk2"/>
    <w:rsid w:val="000E5FF5"/>
    <w:pPr>
      <w:shd w:val="clear" w:color="auto" w:fill="FFFFFF"/>
      <w:spacing w:line="302" w:lineRule="exact"/>
      <w:ind w:firstLine="1980"/>
      <w:outlineLvl w:val="1"/>
    </w:pPr>
    <w:rPr>
      <w:rFonts w:ascii="Impact" w:eastAsia="Impact" w:hAnsi="Impact" w:cs="Impact"/>
      <w:spacing w:val="-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2012-10-19T07:17:00Z</dcterms:created>
  <dcterms:modified xsi:type="dcterms:W3CDTF">2012-10-19T07:17:00Z</dcterms:modified>
</cp:coreProperties>
</file>