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16B" w:rsidRDefault="007241F2">
      <w:pPr>
        <w:pStyle w:val="Balk20"/>
        <w:keepNext/>
        <w:keepLines/>
        <w:shd w:val="clear" w:color="auto" w:fill="000000"/>
      </w:pPr>
      <w:bookmarkStart w:id="0" w:name="bookmark0"/>
      <w:r>
        <w:rPr>
          <w:rStyle w:val="Balk21"/>
          <w:b/>
          <w:bCs/>
        </w:rPr>
        <w:t>T.C. BULANCAK İCRA MÜDÜRLÜĞÜ'NDEN TAŞINMAZIN AÇIK ARTIRMA İLANI</w:t>
      </w:r>
      <w:bookmarkEnd w:id="0"/>
    </w:p>
    <w:p w:rsidR="0036316B" w:rsidRDefault="007241F2">
      <w:pPr>
        <w:pStyle w:val="Gvdemetni20"/>
        <w:shd w:val="clear" w:color="auto" w:fill="auto"/>
        <w:ind w:left="20"/>
      </w:pPr>
      <w:r>
        <w:t xml:space="preserve">SAYI: 2012/107 </w:t>
      </w:r>
      <w:proofErr w:type="spellStart"/>
      <w:r>
        <w:t>Tal</w:t>
      </w:r>
      <w:proofErr w:type="spellEnd"/>
      <w:r>
        <w:t>.</w:t>
      </w:r>
    </w:p>
    <w:p w:rsidR="0036316B" w:rsidRDefault="007241F2">
      <w:pPr>
        <w:pStyle w:val="Gvdemetni20"/>
        <w:shd w:val="clear" w:color="auto" w:fill="auto"/>
        <w:ind w:left="20"/>
      </w:pPr>
      <w:r>
        <w:t>Satılmasına karar verilen taşınmazın cinsi, niteliği, kıymeti, adedi, önemli özellikleri:</w:t>
      </w:r>
    </w:p>
    <w:p w:rsidR="0036316B" w:rsidRDefault="007241F2">
      <w:pPr>
        <w:pStyle w:val="Gvdemetni0"/>
        <w:shd w:val="clear" w:color="auto" w:fill="auto"/>
        <w:ind w:left="20" w:right="40"/>
      </w:pPr>
      <w:r>
        <w:rPr>
          <w:rStyle w:val="GvdemetniKaln"/>
        </w:rPr>
        <w:t xml:space="preserve">Tapu </w:t>
      </w:r>
      <w:proofErr w:type="gramStart"/>
      <w:r>
        <w:rPr>
          <w:rStyle w:val="GvdemetniKaln"/>
        </w:rPr>
        <w:t xml:space="preserve">Kaydı </w:t>
      </w:r>
      <w:r>
        <w:t>: Giresun</w:t>
      </w:r>
      <w:proofErr w:type="gramEnd"/>
      <w:r>
        <w:t xml:space="preserve"> ili Bulancak ilçesi </w:t>
      </w:r>
      <w:proofErr w:type="spellStart"/>
      <w:r>
        <w:t>Burunucu</w:t>
      </w:r>
      <w:proofErr w:type="spellEnd"/>
      <w:r>
        <w:t xml:space="preserve"> Köyü </w:t>
      </w:r>
      <w:proofErr w:type="spellStart"/>
      <w:r>
        <w:t>Ofran</w:t>
      </w:r>
      <w:proofErr w:type="spellEnd"/>
      <w:r>
        <w:t xml:space="preserve"> Mevkii Ada : 113, Parsel: 1, Cilt: 1, Sayfa : 7 de tapuya ka</w:t>
      </w:r>
      <w:r>
        <w:softHyphen/>
        <w:t xml:space="preserve">yıtlı taşınmazın C blokta bulunan dubleks villa niteliğinde 1 </w:t>
      </w:r>
      <w:proofErr w:type="spellStart"/>
      <w:r>
        <w:t>nolu</w:t>
      </w:r>
      <w:proofErr w:type="spellEnd"/>
      <w:r>
        <w:t xml:space="preserve"> bağımsız bölüm.</w:t>
      </w:r>
    </w:p>
    <w:p w:rsidR="0036316B" w:rsidRDefault="007241F2">
      <w:pPr>
        <w:pStyle w:val="Gvdemetni0"/>
        <w:shd w:val="clear" w:color="auto" w:fill="auto"/>
        <w:ind w:left="20"/>
      </w:pPr>
      <w:r>
        <w:rPr>
          <w:rStyle w:val="GvdemetniKaln"/>
        </w:rPr>
        <w:t xml:space="preserve">İmar </w:t>
      </w:r>
      <w:proofErr w:type="gramStart"/>
      <w:r>
        <w:rPr>
          <w:rStyle w:val="GvdemetniKaln"/>
        </w:rPr>
        <w:t xml:space="preserve">Durumu </w:t>
      </w:r>
      <w:r>
        <w:t>: imar</w:t>
      </w:r>
      <w:proofErr w:type="gramEnd"/>
      <w:r>
        <w:t xml:space="preserve"> planı içindedir.</w:t>
      </w:r>
    </w:p>
    <w:p w:rsidR="0036316B" w:rsidRDefault="007241F2">
      <w:pPr>
        <w:pStyle w:val="Gvdemetni0"/>
        <w:shd w:val="clear" w:color="auto" w:fill="auto"/>
        <w:tabs>
          <w:tab w:val="left" w:pos="7508"/>
        </w:tabs>
        <w:ind w:left="20" w:right="40"/>
      </w:pPr>
      <w:r>
        <w:rPr>
          <w:rStyle w:val="GvdemetniKaln"/>
        </w:rPr>
        <w:t xml:space="preserve">ÖNEMLİ </w:t>
      </w:r>
      <w:proofErr w:type="gramStart"/>
      <w:r>
        <w:rPr>
          <w:rStyle w:val="GvdemetniKaln"/>
        </w:rPr>
        <w:t xml:space="preserve">ÖZELLİKLERİ </w:t>
      </w:r>
      <w:r>
        <w:t>: Taşınmaz</w:t>
      </w:r>
      <w:proofErr w:type="gramEnd"/>
      <w:r>
        <w:t xml:space="preserve"> deniz manzaralı Giresun Ordu Karayolu üzerinde </w:t>
      </w:r>
      <w:proofErr w:type="spellStart"/>
      <w:r>
        <w:t>Ofran</w:t>
      </w:r>
      <w:proofErr w:type="spellEnd"/>
      <w:r>
        <w:t xml:space="preserve"> Villalarındadır. Taşınmaz ikiz villa olarak yapılan C </w:t>
      </w:r>
      <w:proofErr w:type="spellStart"/>
      <w:r>
        <w:t>Blokun</w:t>
      </w:r>
      <w:proofErr w:type="spellEnd"/>
      <w:r>
        <w:t xml:space="preserve"> batı tarafındadır. Villa olan yapı bodrum kat, zemin kat, bir normal kat ile çatı katından ibarettir. Arsa payı </w:t>
      </w:r>
      <w:proofErr w:type="gramStart"/>
      <w:r>
        <w:t>359.69</w:t>
      </w:r>
      <w:proofErr w:type="gramEnd"/>
      <w:r>
        <w:t xml:space="preserve"> M2, inşaat alanı 279.00 M2 kullanım alanı 205.00 M2 </w:t>
      </w:r>
      <w:proofErr w:type="spellStart"/>
      <w:r>
        <w:t>dir</w:t>
      </w:r>
      <w:proofErr w:type="spellEnd"/>
      <w:r>
        <w:t xml:space="preserve">. Dışı sıvalı üzeri </w:t>
      </w:r>
      <w:proofErr w:type="spellStart"/>
      <w:r>
        <w:t>şhıngle</w:t>
      </w:r>
      <w:proofErr w:type="spellEnd"/>
      <w:r>
        <w:t xml:space="preserve"> kaplamadır. Tüm kat</w:t>
      </w:r>
      <w:r>
        <w:softHyphen/>
        <w:t xml:space="preserve">ların pencereleri renkli </w:t>
      </w:r>
      <w:proofErr w:type="spellStart"/>
      <w:r>
        <w:t>aliminyum</w:t>
      </w:r>
      <w:proofErr w:type="spellEnd"/>
      <w:r>
        <w:t xml:space="preserve"> doğrama çift camlıdır. Zemin katın kuzey tarafında teras balkonu bulunmaktadır. Çatı ka</w:t>
      </w:r>
      <w:r>
        <w:softHyphen/>
        <w:t xml:space="preserve">tında çatı arası oda ve depo vardır. Villanın ısıtma sistemi kat kaloriferlidir. Katlarda kalorifer petekleri mevcuttur. Bodrum kat müştemilat olarak tertiplenmiş kalorifer dairesi ve sığınak olarak düzenlenmiştir. Villanın giriş kapısı çelik kapıdır. Zemin katta mutfak, oturma salonu, teras balkonu </w:t>
      </w:r>
      <w:proofErr w:type="spellStart"/>
      <w:r>
        <w:t>wc</w:t>
      </w:r>
      <w:proofErr w:type="spellEnd"/>
      <w:r>
        <w:t xml:space="preserve"> ve giriş holü vardır. Islak hacimleri fayans oda döşemeleri </w:t>
      </w:r>
      <w:proofErr w:type="spellStart"/>
      <w:r>
        <w:t>laminant</w:t>
      </w:r>
      <w:proofErr w:type="spellEnd"/>
      <w:r>
        <w:t xml:space="preserve"> kapla</w:t>
      </w:r>
      <w:r>
        <w:softHyphen/>
        <w:t xml:space="preserve">madır. İçerisi alçı sıvalı plastik badanadır. Mutfak </w:t>
      </w:r>
      <w:proofErr w:type="gramStart"/>
      <w:r>
        <w:t>tezgahı</w:t>
      </w:r>
      <w:proofErr w:type="gramEnd"/>
      <w:r>
        <w:t xml:space="preserve"> mermer olup dolapları mevcuttur, iç oda kapıları göbekli doğra</w:t>
      </w:r>
      <w:r>
        <w:softHyphen/>
        <w:t>madan yapılmıştır. Birinci normal katta yatak odaları ve ayrıca ortak banyo bulunmaktadır. Kuzey tarafta balkon mevcuttur. Balkonda ferforje korkuluk vardır. Villa içerisinde bodrum kattan itibaren çatıya çıkılan merdiven vardır. Villanın kuzey tara</w:t>
      </w:r>
      <w:r>
        <w:softHyphen/>
        <w:t xml:space="preserve">fı açık olup deniz </w:t>
      </w:r>
      <w:proofErr w:type="gramStart"/>
      <w:r>
        <w:t>manzaralıdır.Villanın</w:t>
      </w:r>
      <w:proofErr w:type="gramEnd"/>
      <w:r>
        <w:t xml:space="preserve"> Güney tarafında bahçe duvarı, kuzey tarafında tel örgü koruma duvarı vardır. Bah</w:t>
      </w:r>
      <w:r>
        <w:softHyphen/>
        <w:t xml:space="preserve">çeye giriş kapısı demir </w:t>
      </w:r>
      <w:proofErr w:type="gramStart"/>
      <w:r>
        <w:t>profilden</w:t>
      </w:r>
      <w:proofErr w:type="gramEnd"/>
      <w:r>
        <w:t xml:space="preserve"> yapılmış olup bahçede yürüme yolları ve ortak kullanılan havuz vardır. Villanın bahçesin</w:t>
      </w:r>
      <w:r>
        <w:softHyphen/>
        <w:t xml:space="preserve">de peyzaj düzenlemesi yapılmış olup bahçede çeşitli süs bitkileri ve süs fidanları vardır. Elektrik ve suyu mevcuttur. </w:t>
      </w:r>
      <w:r>
        <w:rPr>
          <w:rStyle w:val="GvdemetniKaln"/>
        </w:rPr>
        <w:t xml:space="preserve">Muhammen bedeli: </w:t>
      </w:r>
      <w:r>
        <w:t>400.000,00.- TL sidir.</w:t>
      </w:r>
      <w:r>
        <w:tab/>
      </w:r>
      <w:proofErr w:type="gramStart"/>
      <w:r>
        <w:t>«</w:t>
      </w:r>
      <w:proofErr w:type="gramEnd"/>
    </w:p>
    <w:p w:rsidR="0036316B" w:rsidRDefault="007241F2">
      <w:pPr>
        <w:pStyle w:val="Gvdemetni20"/>
        <w:shd w:val="clear" w:color="auto" w:fill="auto"/>
        <w:ind w:left="20"/>
      </w:pPr>
      <w:r>
        <w:t>Satış şartları:</w:t>
      </w:r>
    </w:p>
    <w:p w:rsidR="0036316B" w:rsidRDefault="007241F2">
      <w:pPr>
        <w:pStyle w:val="Gvdemetni0"/>
        <w:numPr>
          <w:ilvl w:val="0"/>
          <w:numId w:val="1"/>
        </w:numPr>
        <w:shd w:val="clear" w:color="auto" w:fill="auto"/>
        <w:tabs>
          <w:tab w:val="left" w:pos="217"/>
        </w:tabs>
        <w:ind w:left="20" w:right="40"/>
      </w:pPr>
      <w:r>
        <w:t xml:space="preserve">Satış </w:t>
      </w:r>
      <w:proofErr w:type="gramStart"/>
      <w:r>
        <w:t>20/07/2012</w:t>
      </w:r>
      <w:proofErr w:type="gramEnd"/>
      <w:r>
        <w:t xml:space="preserve"> günü saat 10.30 dan 10.45 e kadar Bulancak İcra Müdürlüğü giriş kapısı önünde açık artırma suretiy</w:t>
      </w:r>
      <w:r>
        <w:softHyphen/>
        <w:t xml:space="preserve">le yapılacaktır. Bu artırmada tahmin edilen kıymetin % 60 </w:t>
      </w:r>
      <w:proofErr w:type="spellStart"/>
      <w:r>
        <w:t>ını</w:t>
      </w:r>
      <w:proofErr w:type="spellEnd"/>
      <w:r>
        <w:t xml:space="preserve"> ve rüçhanlı alacaklılar varsa alacakları toplamını ve satış gi</w:t>
      </w:r>
      <w:r>
        <w:softHyphen/>
        <w:t xml:space="preserve">derlerini geçmek şartı ile ihale olunur. Böyle bir bedel ile alıcı çıkmazsa en çok artıranın taahhüdü saklı kalmak şartı ile </w:t>
      </w:r>
      <w:proofErr w:type="gramStart"/>
      <w:r>
        <w:t>30/07/2012</w:t>
      </w:r>
      <w:proofErr w:type="gramEnd"/>
      <w:r>
        <w:t xml:space="preserve"> günü aynı yerde saat 10.30 dan 10.45 e kadar ikinci artırmaya çıkarılacaktır. Bu artırmada da rüçhanlı alacak</w:t>
      </w:r>
      <w:r>
        <w:softHyphen/>
        <w:t>lıların alacağını ve satış giderlerini geçmesi şartı ile en çok artırana ihale olunur. Şu kadar ki, artırma bedelinin malın tah</w:t>
      </w:r>
      <w:r>
        <w:softHyphen/>
        <w:t xml:space="preserve">min edilen kıymetinin %40 </w:t>
      </w:r>
      <w:proofErr w:type="spellStart"/>
      <w:r>
        <w:t>ını</w:t>
      </w:r>
      <w:proofErr w:type="spellEnd"/>
      <w:r>
        <w:t xml:space="preserve"> bulması ve satış isteyenin alacağına rüçhanı olan alacakların toplamından fazla olması ve bun</w:t>
      </w:r>
      <w:r>
        <w:softHyphen/>
        <w:t>dan başka, paraya çevirme ve paylaştırma masraflarını geçmesi lazımdır. Böyle fazla bedelle alıcı çıkmazsa satış talebi dü</w:t>
      </w:r>
      <w:r>
        <w:softHyphen/>
        <w:t>şecektir.</w:t>
      </w:r>
    </w:p>
    <w:p w:rsidR="0036316B" w:rsidRDefault="007241F2">
      <w:pPr>
        <w:pStyle w:val="Gvdemetni0"/>
        <w:numPr>
          <w:ilvl w:val="0"/>
          <w:numId w:val="1"/>
        </w:numPr>
        <w:shd w:val="clear" w:color="auto" w:fill="auto"/>
        <w:tabs>
          <w:tab w:val="left" w:pos="207"/>
        </w:tabs>
        <w:ind w:left="20" w:right="40"/>
      </w:pPr>
      <w:r>
        <w:t>Artırmaya iştirak edeceklerin tahmin edilen değerin % 20 si oranında pey akçesi veya bu miktar kadar banka teminat mektu</w:t>
      </w:r>
      <w:r>
        <w:softHyphen/>
        <w:t>bu vermeleri lazımdır. Satış peşin para iledir, alıcı istediğinde 10 günü geçmemek üzere süre verilebilir. İhale Damga Vergisi, %18 Katma Değer Vergisi ile tapu harç ve masrafları alıcıya aittir. Birikmiş vergiler ve Tellallık harcı satış bedelinden ödenir.</w:t>
      </w:r>
    </w:p>
    <w:p w:rsidR="0036316B" w:rsidRDefault="007241F2">
      <w:pPr>
        <w:pStyle w:val="Gvdemetni0"/>
        <w:numPr>
          <w:ilvl w:val="0"/>
          <w:numId w:val="1"/>
        </w:numPr>
        <w:shd w:val="clear" w:color="auto" w:fill="auto"/>
        <w:tabs>
          <w:tab w:val="left" w:pos="231"/>
        </w:tabs>
        <w:ind w:left="20" w:right="40"/>
      </w:pPr>
      <w:r>
        <w:t>İpotek sahibi alacaklılarla diğer ilgililerin (+) bu gayrimenkul üzerindeki haklarını özellikle faiz ve giderlere dair olan id</w:t>
      </w:r>
      <w:r>
        <w:softHyphen/>
        <w:t xml:space="preserve">dialarını dayanağı belgeler ile </w:t>
      </w:r>
      <w:proofErr w:type="spellStart"/>
      <w:r>
        <w:t>onbeş</w:t>
      </w:r>
      <w:proofErr w:type="spellEnd"/>
      <w:r>
        <w:t xml:space="preserve"> gün içinde dairemize bildirmeleri lazımdır, aksi takdirde hakları tapu sicili ile sabit ol</w:t>
      </w:r>
      <w:r>
        <w:softHyphen/>
        <w:t>madıkça paylaşmadan hariç bırakılacaklardır.</w:t>
      </w:r>
    </w:p>
    <w:p w:rsidR="0036316B" w:rsidRDefault="007241F2">
      <w:pPr>
        <w:pStyle w:val="Gvdemetni0"/>
        <w:numPr>
          <w:ilvl w:val="0"/>
          <w:numId w:val="1"/>
        </w:numPr>
        <w:shd w:val="clear" w:color="auto" w:fill="auto"/>
        <w:tabs>
          <w:tab w:val="left" w:pos="212"/>
        </w:tabs>
        <w:ind w:left="20" w:right="40"/>
      </w:pPr>
      <w:r>
        <w:t>Satış bedeli hemen veya verilen mühlet içinde ödenmezse İcra ve İflas Kanunun 122 üncü maddesi gereğince ihale fes</w:t>
      </w:r>
      <w:r>
        <w:softHyphen/>
        <w:t>hedilir. İki ihale arasındaki farktan ve % 10 faizden alıcı ve kefilleri mesul tutulacak ve hiçbir hükme hacet kalmadan kendi</w:t>
      </w:r>
      <w:r>
        <w:softHyphen/>
        <w:t>lerinden tahsil edilecektir.</w:t>
      </w:r>
    </w:p>
    <w:p w:rsidR="0036316B" w:rsidRDefault="007241F2">
      <w:pPr>
        <w:pStyle w:val="Gvdemetni0"/>
        <w:numPr>
          <w:ilvl w:val="0"/>
          <w:numId w:val="1"/>
        </w:numPr>
        <w:shd w:val="clear" w:color="auto" w:fill="auto"/>
        <w:tabs>
          <w:tab w:val="left" w:pos="202"/>
        </w:tabs>
        <w:ind w:left="20" w:right="40"/>
      </w:pPr>
      <w:r>
        <w:t>Şartname ilan tarihinden itibaren herkesin görebilmesi için dairede açık olup gideri verildiği takdirde isteyen alıcıya bir ör</w:t>
      </w:r>
      <w:r>
        <w:softHyphen/>
        <w:t>neği gönderilebilir.</w:t>
      </w:r>
    </w:p>
    <w:p w:rsidR="0036316B" w:rsidRDefault="007241F2">
      <w:pPr>
        <w:pStyle w:val="Gvdemetni0"/>
        <w:numPr>
          <w:ilvl w:val="0"/>
          <w:numId w:val="1"/>
        </w:numPr>
        <w:shd w:val="clear" w:color="auto" w:fill="auto"/>
        <w:tabs>
          <w:tab w:val="left" w:pos="212"/>
        </w:tabs>
        <w:ind w:left="20" w:right="40"/>
      </w:pPr>
      <w:r>
        <w:t xml:space="preserve">Satışa iştirak edenlerin şartnameyi görmüş ve münderecatını kabul etmiş sayılacakları, başkaca bilgi almak isteyenlerin 2012/107 </w:t>
      </w:r>
      <w:proofErr w:type="spellStart"/>
      <w:r>
        <w:t>Tal</w:t>
      </w:r>
      <w:proofErr w:type="spellEnd"/>
      <w:r>
        <w:t xml:space="preserve">. </w:t>
      </w:r>
      <w:proofErr w:type="gramStart"/>
      <w:r>
        <w:t>sayılı</w:t>
      </w:r>
      <w:proofErr w:type="gramEnd"/>
      <w:r>
        <w:t xml:space="preserve"> dosya numarası ile </w:t>
      </w:r>
      <w:proofErr w:type="spellStart"/>
      <w:r>
        <w:t>Müdürlüğü'müze</w:t>
      </w:r>
      <w:proofErr w:type="spellEnd"/>
      <w:r>
        <w:t xml:space="preserve"> başvurmaları ilan olunur. </w:t>
      </w:r>
      <w:proofErr w:type="gramStart"/>
      <w:r>
        <w:t>30/05/2012</w:t>
      </w:r>
      <w:proofErr w:type="gramEnd"/>
    </w:p>
    <w:p w:rsidR="0036316B" w:rsidRDefault="007241F2" w:rsidP="00D52FD1">
      <w:pPr>
        <w:pStyle w:val="Gvdemetni0"/>
        <w:shd w:val="clear" w:color="auto" w:fill="auto"/>
        <w:ind w:left="20"/>
      </w:pPr>
      <w:proofErr w:type="spellStart"/>
      <w:r>
        <w:t>İc</w:t>
      </w:r>
      <w:proofErr w:type="spellEnd"/>
      <w:r>
        <w:t xml:space="preserve">. </w:t>
      </w:r>
      <w:proofErr w:type="spellStart"/>
      <w:r>
        <w:t>if</w:t>
      </w:r>
      <w:proofErr w:type="spellEnd"/>
      <w:r>
        <w:t xml:space="preserve">. K. 126) (+) ilgililer tabirine irtifak hakkı sahipleri de </w:t>
      </w:r>
      <w:proofErr w:type="gramStart"/>
      <w:r>
        <w:t>dahildir</w:t>
      </w:r>
      <w:proofErr w:type="gramEnd"/>
      <w:r>
        <w:t>.</w:t>
      </w:r>
    </w:p>
    <w:p w:rsidR="0036316B" w:rsidRDefault="007241F2">
      <w:pPr>
        <w:pStyle w:val="Gvdemetni0"/>
        <w:shd w:val="clear" w:color="auto" w:fill="auto"/>
        <w:spacing w:line="150" w:lineRule="exact"/>
        <w:ind w:left="5360"/>
        <w:jc w:val="left"/>
      </w:pPr>
      <w:r>
        <w:t xml:space="preserve">P L-W?\/n </w:t>
      </w:r>
      <w:r>
        <w:rPr>
          <w:rStyle w:val="GvdemetniSegoeUI55pttalik"/>
        </w:rPr>
        <w:t>7.ÇIQ7C\</w:t>
      </w:r>
    </w:p>
    <w:sectPr w:rsidR="0036316B" w:rsidSect="0036316B">
      <w:type w:val="continuous"/>
      <w:pgSz w:w="11909" w:h="16838"/>
      <w:pgMar w:top="1879" w:right="1577" w:bottom="1898" w:left="157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121" w:rsidRDefault="00CC6121" w:rsidP="0036316B">
      <w:r>
        <w:separator/>
      </w:r>
    </w:p>
  </w:endnote>
  <w:endnote w:type="continuationSeparator" w:id="0">
    <w:p w:rsidR="00CC6121" w:rsidRDefault="00CC6121" w:rsidP="0036316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Segoe UI">
    <w:panose1 w:val="020B0502040204020203"/>
    <w:charset w:val="A2"/>
    <w:family w:val="swiss"/>
    <w:pitch w:val="variable"/>
    <w:sig w:usb0="E00022FF" w:usb1="C000205B" w:usb2="00000009" w:usb3="00000000" w:csb0="000001D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121" w:rsidRDefault="00CC6121"/>
  </w:footnote>
  <w:footnote w:type="continuationSeparator" w:id="0">
    <w:p w:rsidR="00CC6121" w:rsidRDefault="00CC612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D7EC4"/>
    <w:multiLevelType w:val="multilevel"/>
    <w:tmpl w:val="6C3E044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6316B"/>
    <w:rsid w:val="001E013C"/>
    <w:rsid w:val="0036316B"/>
    <w:rsid w:val="007241F2"/>
    <w:rsid w:val="00CC2D29"/>
    <w:rsid w:val="00CC6121"/>
    <w:rsid w:val="00D52F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316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6316B"/>
    <w:rPr>
      <w:color w:val="000080"/>
      <w:u w:val="single"/>
    </w:rPr>
  </w:style>
  <w:style w:type="character" w:customStyle="1" w:styleId="Balk2">
    <w:name w:val="Başlık #2_"/>
    <w:basedOn w:val="VarsaylanParagrafYazTipi"/>
    <w:link w:val="Balk20"/>
    <w:rsid w:val="0036316B"/>
    <w:rPr>
      <w:rFonts w:ascii="Arial" w:eastAsia="Arial" w:hAnsi="Arial" w:cs="Arial"/>
      <w:b/>
      <w:bCs/>
      <w:i w:val="0"/>
      <w:iCs w:val="0"/>
      <w:smallCaps w:val="0"/>
      <w:strike w:val="0"/>
      <w:sz w:val="27"/>
      <w:szCs w:val="27"/>
      <w:u w:val="none"/>
    </w:rPr>
  </w:style>
  <w:style w:type="character" w:customStyle="1" w:styleId="Balk21">
    <w:name w:val="Başlık #2"/>
    <w:basedOn w:val="Balk2"/>
    <w:rsid w:val="0036316B"/>
    <w:rPr>
      <w:color w:val="FFFFFF"/>
      <w:spacing w:val="0"/>
      <w:w w:val="100"/>
      <w:position w:val="0"/>
      <w:lang w:val="tr-TR"/>
    </w:rPr>
  </w:style>
  <w:style w:type="character" w:customStyle="1" w:styleId="Gvdemetni2">
    <w:name w:val="Gövde metni (2)_"/>
    <w:basedOn w:val="VarsaylanParagrafYazTipi"/>
    <w:link w:val="Gvdemetni20"/>
    <w:rsid w:val="0036316B"/>
    <w:rPr>
      <w:rFonts w:ascii="Arial" w:eastAsia="Arial" w:hAnsi="Arial" w:cs="Arial"/>
      <w:b/>
      <w:bCs/>
      <w:i w:val="0"/>
      <w:iCs w:val="0"/>
      <w:smallCaps w:val="0"/>
      <w:strike w:val="0"/>
      <w:sz w:val="15"/>
      <w:szCs w:val="15"/>
      <w:u w:val="none"/>
    </w:rPr>
  </w:style>
  <w:style w:type="character" w:customStyle="1" w:styleId="Gvdemetni">
    <w:name w:val="Gövde metni_"/>
    <w:basedOn w:val="VarsaylanParagrafYazTipi"/>
    <w:link w:val="Gvdemetni0"/>
    <w:rsid w:val="0036316B"/>
    <w:rPr>
      <w:rFonts w:ascii="Arial" w:eastAsia="Arial" w:hAnsi="Arial" w:cs="Arial"/>
      <w:b w:val="0"/>
      <w:bCs w:val="0"/>
      <w:i w:val="0"/>
      <w:iCs w:val="0"/>
      <w:smallCaps w:val="0"/>
      <w:strike w:val="0"/>
      <w:sz w:val="15"/>
      <w:szCs w:val="15"/>
      <w:u w:val="none"/>
    </w:rPr>
  </w:style>
  <w:style w:type="character" w:customStyle="1" w:styleId="GvdemetniKaln">
    <w:name w:val="Gövde metni + Kalın"/>
    <w:basedOn w:val="Gvdemetni"/>
    <w:rsid w:val="0036316B"/>
    <w:rPr>
      <w:b/>
      <w:bCs/>
      <w:color w:val="000000"/>
      <w:spacing w:val="0"/>
      <w:w w:val="100"/>
      <w:position w:val="0"/>
      <w:lang w:val="tr-TR"/>
    </w:rPr>
  </w:style>
  <w:style w:type="character" w:customStyle="1" w:styleId="Gvdemetni3">
    <w:name w:val="Gövde metni (3)_"/>
    <w:basedOn w:val="VarsaylanParagrafYazTipi"/>
    <w:link w:val="Gvdemetni30"/>
    <w:rsid w:val="0036316B"/>
    <w:rPr>
      <w:rFonts w:ascii="Arial" w:eastAsia="Arial" w:hAnsi="Arial" w:cs="Arial"/>
      <w:b/>
      <w:bCs/>
      <w:i w:val="0"/>
      <w:iCs w:val="0"/>
      <w:smallCaps w:val="0"/>
      <w:strike w:val="0"/>
      <w:sz w:val="18"/>
      <w:szCs w:val="18"/>
      <w:u w:val="none"/>
    </w:rPr>
  </w:style>
  <w:style w:type="character" w:customStyle="1" w:styleId="Gvdemetni31">
    <w:name w:val="Gövde metni (3)"/>
    <w:basedOn w:val="Gvdemetni3"/>
    <w:rsid w:val="0036316B"/>
    <w:rPr>
      <w:color w:val="FFFFFF"/>
      <w:spacing w:val="0"/>
      <w:w w:val="100"/>
      <w:position w:val="0"/>
      <w:lang w:val="tr-TR"/>
    </w:rPr>
  </w:style>
  <w:style w:type="character" w:customStyle="1" w:styleId="Balk1">
    <w:name w:val="Başlık #1_"/>
    <w:basedOn w:val="VarsaylanParagrafYazTipi"/>
    <w:link w:val="Balk10"/>
    <w:rsid w:val="0036316B"/>
    <w:rPr>
      <w:rFonts w:ascii="Segoe UI" w:eastAsia="Segoe UI" w:hAnsi="Segoe UI" w:cs="Segoe UI"/>
      <w:b/>
      <w:bCs/>
      <w:i/>
      <w:iCs/>
      <w:smallCaps w:val="0"/>
      <w:strike w:val="0"/>
      <w:spacing w:val="-60"/>
      <w:sz w:val="28"/>
      <w:szCs w:val="28"/>
      <w:u w:val="none"/>
    </w:rPr>
  </w:style>
  <w:style w:type="character" w:customStyle="1" w:styleId="Balk1Arial9ptKalnDeiltalikdeil0ptbolukbraklyor">
    <w:name w:val="Başlık #1 + Arial;9 pt;Kalın Değil;İtalik değil;0 pt boşluk bırakılıyor"/>
    <w:basedOn w:val="Balk1"/>
    <w:rsid w:val="0036316B"/>
    <w:rPr>
      <w:rFonts w:ascii="Arial" w:eastAsia="Arial" w:hAnsi="Arial" w:cs="Arial"/>
      <w:b/>
      <w:bCs/>
      <w:i/>
      <w:iCs/>
      <w:color w:val="000000"/>
      <w:spacing w:val="0"/>
      <w:w w:val="100"/>
      <w:position w:val="0"/>
      <w:sz w:val="18"/>
      <w:szCs w:val="18"/>
      <w:lang w:val="tr-TR"/>
    </w:rPr>
  </w:style>
  <w:style w:type="character" w:customStyle="1" w:styleId="GvdemetniSegoeUI55pttalik">
    <w:name w:val="Gövde metni + Segoe UI;5;5 pt;İtalik"/>
    <w:basedOn w:val="Gvdemetni"/>
    <w:rsid w:val="0036316B"/>
    <w:rPr>
      <w:rFonts w:ascii="Segoe UI" w:eastAsia="Segoe UI" w:hAnsi="Segoe UI" w:cs="Segoe UI"/>
      <w:i/>
      <w:iCs/>
      <w:color w:val="000000"/>
      <w:spacing w:val="0"/>
      <w:w w:val="100"/>
      <w:position w:val="0"/>
      <w:sz w:val="11"/>
      <w:szCs w:val="11"/>
      <w:lang w:val="tr-TR"/>
    </w:rPr>
  </w:style>
  <w:style w:type="paragraph" w:customStyle="1" w:styleId="Balk20">
    <w:name w:val="Başlık #2"/>
    <w:basedOn w:val="Normal"/>
    <w:link w:val="Balk2"/>
    <w:rsid w:val="0036316B"/>
    <w:pPr>
      <w:shd w:val="clear" w:color="auto" w:fill="FFFFFF"/>
      <w:spacing w:line="298" w:lineRule="exact"/>
      <w:jc w:val="center"/>
      <w:outlineLvl w:val="1"/>
    </w:pPr>
    <w:rPr>
      <w:rFonts w:ascii="Arial" w:eastAsia="Arial" w:hAnsi="Arial" w:cs="Arial"/>
      <w:b/>
      <w:bCs/>
      <w:sz w:val="27"/>
      <w:szCs w:val="27"/>
    </w:rPr>
  </w:style>
  <w:style w:type="paragraph" w:customStyle="1" w:styleId="Gvdemetni20">
    <w:name w:val="Gövde metni (2)"/>
    <w:basedOn w:val="Normal"/>
    <w:link w:val="Gvdemetni2"/>
    <w:rsid w:val="0036316B"/>
    <w:pPr>
      <w:shd w:val="clear" w:color="auto" w:fill="FFFFFF"/>
      <w:spacing w:line="182" w:lineRule="exact"/>
      <w:jc w:val="both"/>
    </w:pPr>
    <w:rPr>
      <w:rFonts w:ascii="Arial" w:eastAsia="Arial" w:hAnsi="Arial" w:cs="Arial"/>
      <w:b/>
      <w:bCs/>
      <w:sz w:val="15"/>
      <w:szCs w:val="15"/>
    </w:rPr>
  </w:style>
  <w:style w:type="paragraph" w:customStyle="1" w:styleId="Gvdemetni0">
    <w:name w:val="Gövde metni"/>
    <w:basedOn w:val="Normal"/>
    <w:link w:val="Gvdemetni"/>
    <w:rsid w:val="0036316B"/>
    <w:pPr>
      <w:shd w:val="clear" w:color="auto" w:fill="FFFFFF"/>
      <w:spacing w:line="182" w:lineRule="exact"/>
      <w:jc w:val="both"/>
    </w:pPr>
    <w:rPr>
      <w:rFonts w:ascii="Arial" w:eastAsia="Arial" w:hAnsi="Arial" w:cs="Arial"/>
      <w:sz w:val="15"/>
      <w:szCs w:val="15"/>
    </w:rPr>
  </w:style>
  <w:style w:type="paragraph" w:customStyle="1" w:styleId="Gvdemetni30">
    <w:name w:val="Gövde metni (3)"/>
    <w:basedOn w:val="Normal"/>
    <w:link w:val="Gvdemetni3"/>
    <w:rsid w:val="0036316B"/>
    <w:pPr>
      <w:shd w:val="clear" w:color="auto" w:fill="FFFFFF"/>
      <w:spacing w:before="60" w:after="240" w:line="0" w:lineRule="atLeast"/>
      <w:jc w:val="center"/>
    </w:pPr>
    <w:rPr>
      <w:rFonts w:ascii="Arial" w:eastAsia="Arial" w:hAnsi="Arial" w:cs="Arial"/>
      <w:b/>
      <w:bCs/>
      <w:sz w:val="18"/>
      <w:szCs w:val="18"/>
    </w:rPr>
  </w:style>
  <w:style w:type="paragraph" w:customStyle="1" w:styleId="Balk10">
    <w:name w:val="Başlık #1"/>
    <w:basedOn w:val="Normal"/>
    <w:link w:val="Balk1"/>
    <w:rsid w:val="0036316B"/>
    <w:pPr>
      <w:shd w:val="clear" w:color="auto" w:fill="FFFFFF"/>
      <w:spacing w:before="60" w:line="0" w:lineRule="atLeast"/>
      <w:outlineLvl w:val="0"/>
    </w:pPr>
    <w:rPr>
      <w:rFonts w:ascii="Segoe UI" w:eastAsia="Segoe UI" w:hAnsi="Segoe UI" w:cs="Segoe UI"/>
      <w:b/>
      <w:bCs/>
      <w:i/>
      <w:iCs/>
      <w:spacing w:val="-6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tkemlak</cp:lastModifiedBy>
  <cp:revision>2</cp:revision>
  <dcterms:created xsi:type="dcterms:W3CDTF">2012-06-16T11:54:00Z</dcterms:created>
  <dcterms:modified xsi:type="dcterms:W3CDTF">2012-06-16T11:54:00Z</dcterms:modified>
</cp:coreProperties>
</file>