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FE" w:rsidRDefault="005448B3">
      <w:pPr>
        <w:pStyle w:val="Balk10"/>
        <w:keepNext/>
        <w:keepLines/>
        <w:shd w:val="clear" w:color="auto" w:fill="000000"/>
        <w:sectPr w:rsidR="00BE52FE">
          <w:type w:val="continuous"/>
          <w:pgSz w:w="16838" w:h="16834" w:orient="landscape"/>
          <w:pgMar w:top="4524" w:right="4876" w:bottom="4457" w:left="5078" w:header="0" w:footer="3" w:gutter="0"/>
          <w:cols w:space="720"/>
          <w:noEndnote/>
          <w:docGrid w:linePitch="360"/>
        </w:sectPr>
      </w:pPr>
      <w:bookmarkStart w:id="0" w:name="bookmark0"/>
      <w:r>
        <w:rPr>
          <w:rStyle w:val="Balk11"/>
          <w:b/>
          <w:bCs/>
        </w:rPr>
        <w:t>TAŞINMAZIN AÇIK ARTIRMA İLANI MUĞLA 2.İCRA DAİRESİ SATIŞ MEMURLUĞUNDAN</w:t>
      </w:r>
      <w:bookmarkEnd w:id="0"/>
    </w:p>
    <w:p w:rsidR="00BE52FE" w:rsidRDefault="00BE52FE">
      <w:pPr>
        <w:spacing w:line="198" w:lineRule="exact"/>
        <w:rPr>
          <w:sz w:val="16"/>
          <w:szCs w:val="16"/>
        </w:rPr>
      </w:pPr>
    </w:p>
    <w:p w:rsidR="00BE52FE" w:rsidRDefault="00BE52FE">
      <w:pPr>
        <w:rPr>
          <w:sz w:val="2"/>
          <w:szCs w:val="2"/>
        </w:rPr>
        <w:sectPr w:rsidR="00BE52FE">
          <w:type w:val="continuous"/>
          <w:pgSz w:w="16838" w:h="16834" w:orient="landscape"/>
          <w:pgMar w:top="0" w:right="0" w:bottom="0" w:left="0" w:header="0" w:footer="3" w:gutter="0"/>
          <w:cols w:space="720"/>
          <w:noEndnote/>
          <w:docGrid w:linePitch="360"/>
        </w:sectPr>
      </w:pPr>
    </w:p>
    <w:p w:rsidR="00BE52FE" w:rsidRDefault="005448B3">
      <w:pPr>
        <w:pStyle w:val="Gvdemetni20"/>
        <w:shd w:val="clear" w:color="auto" w:fill="auto"/>
        <w:ind w:left="20"/>
      </w:pPr>
      <w:r>
        <w:lastRenderedPageBreak/>
        <w:t xml:space="preserve">Dosya </w:t>
      </w:r>
      <w:proofErr w:type="gramStart"/>
      <w:r>
        <w:t>No : 2010</w:t>
      </w:r>
      <w:proofErr w:type="gramEnd"/>
      <w:r>
        <w:t>/15</w:t>
      </w:r>
    </w:p>
    <w:p w:rsidR="00BE52FE" w:rsidRDefault="005448B3">
      <w:pPr>
        <w:pStyle w:val="Gvdemetni0"/>
        <w:shd w:val="clear" w:color="auto" w:fill="auto"/>
        <w:ind w:left="20"/>
      </w:pPr>
      <w:r>
        <w:t>Satılarak ortaklığın giderilmesine karar verilen taşınmazın;</w:t>
      </w:r>
    </w:p>
    <w:p w:rsidR="00BE52FE" w:rsidRDefault="005448B3">
      <w:pPr>
        <w:pStyle w:val="Gvdemetni0"/>
        <w:shd w:val="clear" w:color="auto" w:fill="auto"/>
        <w:ind w:left="20" w:right="80"/>
      </w:pPr>
      <w:r>
        <w:rPr>
          <w:rStyle w:val="GvdemetniKaln"/>
        </w:rPr>
        <w:t xml:space="preserve">TAPU </w:t>
      </w:r>
      <w:proofErr w:type="gramStart"/>
      <w:r>
        <w:rPr>
          <w:rStyle w:val="GvdemetniKaln"/>
        </w:rPr>
        <w:t xml:space="preserve">KAYDI </w:t>
      </w:r>
      <w:r>
        <w:t>: Muğla</w:t>
      </w:r>
      <w:proofErr w:type="gramEnd"/>
      <w:r>
        <w:t xml:space="preserve"> merkez </w:t>
      </w:r>
      <w:proofErr w:type="spellStart"/>
      <w:r>
        <w:t>Muslittin</w:t>
      </w:r>
      <w:proofErr w:type="spellEnd"/>
      <w:r>
        <w:t xml:space="preserve"> mah 702 ada 250 parsel sayılı taşınmaz </w:t>
      </w:r>
      <w:r>
        <w:rPr>
          <w:rStyle w:val="GvdemetniKaln"/>
        </w:rPr>
        <w:t xml:space="preserve">ÖZELLİKLERİ </w:t>
      </w:r>
      <w:r>
        <w:t xml:space="preserve">: Taşınmaz tapu kaydında tarla vasfında olup 90.571,00 m2 </w:t>
      </w:r>
      <w:proofErr w:type="spellStart"/>
      <w:r>
        <w:t>dir</w:t>
      </w:r>
      <w:proofErr w:type="spellEnd"/>
      <w:r>
        <w:t xml:space="preserve"> (beyan hanesinde gerçek yüzölçümü 90.150,99 m2 </w:t>
      </w:r>
      <w:proofErr w:type="spellStart"/>
      <w:r>
        <w:t>dir</w:t>
      </w:r>
      <w:proofErr w:type="spellEnd"/>
      <w:r>
        <w:t xml:space="preserve">)Keşif günü itibariyle parselin </w:t>
      </w:r>
      <w:proofErr w:type="spellStart"/>
      <w:r>
        <w:t>Emirbeyazıt</w:t>
      </w:r>
      <w:proofErr w:type="spellEnd"/>
      <w:r>
        <w:t xml:space="preserve"> camisi ve Türkcell binasının batısında olduğu ve taşınmaz üzerine yapılaşma olmadığı görülmüştür.Arazi yapısı düz bir </w:t>
      </w:r>
      <w:proofErr w:type="spellStart"/>
      <w:r>
        <w:t>topoğrafik</w:t>
      </w:r>
      <w:proofErr w:type="spellEnd"/>
      <w:r>
        <w:t xml:space="preserve"> özelliği olup, otogarın önünden Yatağan-Aydın istikametine giden 35.00 m </w:t>
      </w:r>
      <w:proofErr w:type="spellStart"/>
      <w:r>
        <w:t>lik</w:t>
      </w:r>
      <w:proofErr w:type="spellEnd"/>
      <w:r>
        <w:t xml:space="preserve"> asfalt yol taşınmazın içerisinde geçmektedir.</w:t>
      </w:r>
      <w:proofErr w:type="spellStart"/>
      <w:r>
        <w:t>Taşmmazın</w:t>
      </w:r>
      <w:proofErr w:type="spellEnd"/>
      <w:r>
        <w:t xml:space="preserve"> tapu </w:t>
      </w:r>
      <w:proofErr w:type="spellStart"/>
      <w:r>
        <w:t>kaydmda</w:t>
      </w:r>
      <w:proofErr w:type="spellEnd"/>
      <w:r>
        <w:t xml:space="preserve"> Etibank Genel Müdürlüğünün lehine 3775 m2 </w:t>
      </w:r>
      <w:proofErr w:type="spellStart"/>
      <w:r>
        <w:t>lik</w:t>
      </w:r>
      <w:proofErr w:type="spellEnd"/>
      <w:r>
        <w:t xml:space="preserve"> daimi </w:t>
      </w:r>
      <w:proofErr w:type="spellStart"/>
      <w:r>
        <w:t>irftifak</w:t>
      </w:r>
      <w:proofErr w:type="spellEnd"/>
      <w:r>
        <w:t xml:space="preserve"> hakkı.TEK Genel Müdürlüğü lehine 6508 m2 saha üzerinde daimi irtifak hakkı, TEK Genel Müdürlüğü lehine 7571 M2 </w:t>
      </w:r>
      <w:proofErr w:type="spellStart"/>
      <w:r>
        <w:t>lik</w:t>
      </w:r>
      <w:proofErr w:type="spellEnd"/>
      <w:r>
        <w:t xml:space="preserve"> saha üzerinde daimi irtifak hakkı, Muğla Belediyesinin 2942 Sayılı kamulaştırma kanunun 7 maddesine göre belirtme şerhleri vardır.</w:t>
      </w:r>
    </w:p>
    <w:p w:rsidR="00BE52FE" w:rsidRDefault="005448B3">
      <w:pPr>
        <w:pStyle w:val="Gvdemetni0"/>
        <w:shd w:val="clear" w:color="auto" w:fill="auto"/>
        <w:ind w:left="20" w:right="80"/>
        <w:jc w:val="left"/>
      </w:pPr>
      <w:r>
        <w:t xml:space="preserve">İMAR </w:t>
      </w:r>
      <w:proofErr w:type="gramStart"/>
      <w:r>
        <w:t>DURUMU : Muğla</w:t>
      </w:r>
      <w:proofErr w:type="gramEnd"/>
      <w:r>
        <w:t xml:space="preserve"> Belediyesi İmar ve Şehircilik Müdürlüğünün 23/12/2010 tarih ve 1854-4292 sayılı yazısı ve 12.04.2012 tarih, 2260 sayılı yazılarında. </w:t>
      </w:r>
      <w:proofErr w:type="gramStart"/>
      <w:r>
        <w:t xml:space="preserve">Belediye Meclisinin 12.11.2003 tarih ve 168 </w:t>
      </w:r>
      <w:proofErr w:type="spellStart"/>
      <w:r>
        <w:t>nolu</w:t>
      </w:r>
      <w:proofErr w:type="spellEnd"/>
      <w:r>
        <w:t xml:space="preserve"> karan ve dosyada bulunan İmar Komisyon raporunda 1/3 oranındaki ve müracaat yazısı ekinde verilen paylaşım tablosunda görülen parsellerin kendilerinde kalmak ve tasdik sonrası 18 madde imar uygulamasının Belediyece yapılması koşuluyla taşınmazın 2/3 oranındaki mülkiyetin tamamı, yol, yeşil alan, otopark, oyun alanı ve arsa olarak kayıtsız şartsız ve bedelsiz belediyeye devir edeceklerini beyan etmişlerdir. </w:t>
      </w:r>
      <w:proofErr w:type="gramEnd"/>
      <w:r>
        <w:t xml:space="preserve">Parselin genelde ayrık nizamda 2 katlı ve </w:t>
      </w:r>
      <w:proofErr w:type="spellStart"/>
      <w:r>
        <w:t>Taks</w:t>
      </w:r>
      <w:proofErr w:type="spellEnd"/>
      <w:r>
        <w:t>= 0,25,</w:t>
      </w:r>
      <w:proofErr w:type="spellStart"/>
      <w:r>
        <w:t>Kaks</w:t>
      </w:r>
      <w:proofErr w:type="spellEnd"/>
      <w:r>
        <w:t>=0,50 oranında yapıya izin verildiği K,ÇA alanlarında E=0,60,</w:t>
      </w:r>
      <w:proofErr w:type="spellStart"/>
      <w:r>
        <w:t>Hmak</w:t>
      </w:r>
      <w:proofErr w:type="spellEnd"/>
      <w:r>
        <w:t>= 10,50 olduğu görülmektedir. Ayrıca parsel imar planına uygun hale gelmedikçe inşaat izni verilemeyeceği 194 Sayılı imar kanunun 18 madde uygulaması yapılmadıkça inşaat izni verilemez, Hisselere göre ifrazı ise 18 madde uygulaması sonucu mümkün olduğu bildirilmiştir.</w:t>
      </w:r>
    </w:p>
    <w:p w:rsidR="00BE52FE" w:rsidRDefault="005448B3">
      <w:pPr>
        <w:pStyle w:val="Gvdemetni20"/>
        <w:shd w:val="clear" w:color="auto" w:fill="auto"/>
        <w:tabs>
          <w:tab w:val="left" w:pos="1460"/>
        </w:tabs>
        <w:ind w:left="20"/>
      </w:pPr>
      <w:r>
        <w:t>DEĞERİ</w:t>
      </w:r>
      <w:r>
        <w:tab/>
        <w:t>: 11.719.629,00 TL</w:t>
      </w:r>
    </w:p>
    <w:p w:rsidR="00BE52FE" w:rsidRDefault="005448B3">
      <w:pPr>
        <w:pStyle w:val="Gvdemetni0"/>
        <w:shd w:val="clear" w:color="auto" w:fill="auto"/>
        <w:ind w:left="720"/>
        <w:jc w:val="left"/>
      </w:pPr>
      <w:r>
        <w:t>Satılarak paraya çevrilecektir.</w:t>
      </w:r>
    </w:p>
    <w:p w:rsidR="00BE52FE" w:rsidRDefault="005448B3">
      <w:pPr>
        <w:pStyle w:val="Gvdemetni0"/>
        <w:shd w:val="clear" w:color="auto" w:fill="auto"/>
        <w:ind w:left="720"/>
        <w:jc w:val="left"/>
      </w:pPr>
      <w:r>
        <w:t xml:space="preserve">Satış </w:t>
      </w:r>
      <w:proofErr w:type="gramStart"/>
      <w:r>
        <w:t>Şartlan :</w:t>
      </w:r>
      <w:proofErr w:type="gramEnd"/>
    </w:p>
    <w:p w:rsidR="00BE52FE" w:rsidRDefault="005448B3">
      <w:pPr>
        <w:pStyle w:val="Gvdemetni0"/>
        <w:numPr>
          <w:ilvl w:val="0"/>
          <w:numId w:val="1"/>
        </w:numPr>
        <w:shd w:val="clear" w:color="auto" w:fill="auto"/>
        <w:tabs>
          <w:tab w:val="left" w:pos="198"/>
        </w:tabs>
        <w:ind w:left="20" w:right="80"/>
        <w:jc w:val="left"/>
      </w:pPr>
      <w:r>
        <w:t xml:space="preserve">Satış 14.08.2012 SALI günü saat 10.00/10.10 arasında MUĞLA ADLİYESİ 2. İCRA MÜDÜRLÜĞÜ KALEMİ 212 NOLU ODA adresinde açık artırma suretiyle yapılacaktır. Bu artırmada tahmin edilen kıymetinin %60 mı ve rüçhanlı alacaklılar varsa alacakları mecmuunu ve satış masraflarını, geçmek şartı ile ihale olunur. Böyle bir bedelle alıcı çıkmazsa en çok artıranın taahhüdü baki kalmak şartıyla </w:t>
      </w:r>
      <w:r>
        <w:lastRenderedPageBreak/>
        <w:t>24.08.2012 CUMA günü saat 10.00/10.10 arasında MUĞLA</w:t>
      </w:r>
    </w:p>
    <w:p w:rsidR="00BE52FE" w:rsidRDefault="005448B3">
      <w:pPr>
        <w:pStyle w:val="Gvdemetni0"/>
        <w:shd w:val="clear" w:color="auto" w:fill="auto"/>
        <w:spacing w:line="140" w:lineRule="exact"/>
        <w:ind w:left="20"/>
        <w:jc w:val="left"/>
      </w:pPr>
      <w:r>
        <w:t>ADLİYESİ 2. İCRA MÜDÜRLÜĞÜ KALEMİ 212 NOLU ODA adresinde ikinci artırmaya</w:t>
      </w:r>
    </w:p>
    <w:p w:rsidR="00BE52FE" w:rsidRDefault="005448B3">
      <w:pPr>
        <w:pStyle w:val="Gvdemetni0"/>
        <w:shd w:val="clear" w:color="auto" w:fill="auto"/>
        <w:spacing w:line="216" w:lineRule="exact"/>
        <w:ind w:left="20" w:right="60"/>
        <w:jc w:val="left"/>
      </w:pPr>
      <w:proofErr w:type="spellStart"/>
      <w:r>
        <w:t>çıkanlacaktır</w:t>
      </w:r>
      <w:proofErr w:type="spellEnd"/>
      <w:r>
        <w:t xml:space="preserve">. Bu artırmada da bu miktar elde edilememişse taşınmaz en çok artıranının taahhüdü saklı kalmak üzere artırma ilanında gösterilen müddet sonunda en çok artırana ihale edilecektir. Şu kadar ki, artırma bedelinin malın tahmin edilen kıymetinin </w:t>
      </w:r>
      <w:r>
        <w:rPr>
          <w:rStyle w:val="GvdemetniBookmanOldStyle75pttalik"/>
        </w:rPr>
        <w:t>%</w:t>
      </w:r>
      <w:r>
        <w:t xml:space="preserve"> 40 </w:t>
      </w:r>
      <w:proofErr w:type="spellStart"/>
      <w:r>
        <w:t>ını</w:t>
      </w:r>
      <w:proofErr w:type="spellEnd"/>
      <w:r>
        <w:t xml:space="preserve"> bulması ve satış isteyeninin alacağına rüçhanı olan </w:t>
      </w:r>
      <w:proofErr w:type="spellStart"/>
      <w:r>
        <w:t>alacaklannın</w:t>
      </w:r>
      <w:proofErr w:type="spellEnd"/>
      <w:r>
        <w:t xml:space="preserve"> toplamından fazla ve bundan başka paraya çevirme ve paylaştırma masraflarım geçmesi lazımdır. Böyle fazla bedelle alıcı çıkmazsa satış talebi düşecektir.</w:t>
      </w:r>
    </w:p>
    <w:p w:rsidR="00BE52FE" w:rsidRDefault="005448B3">
      <w:pPr>
        <w:pStyle w:val="Gvdemetni0"/>
        <w:numPr>
          <w:ilvl w:val="0"/>
          <w:numId w:val="1"/>
        </w:numPr>
        <w:shd w:val="clear" w:color="auto" w:fill="auto"/>
        <w:tabs>
          <w:tab w:val="left" w:pos="188"/>
        </w:tabs>
        <w:spacing w:line="216" w:lineRule="exact"/>
        <w:ind w:left="20" w:right="220"/>
      </w:pPr>
      <w:r>
        <w:t xml:space="preserve">Artırmaya iştirak edeceklerin, tahmin edilen kıymetinin % 20 si nispetinde pey akçesi (Türk Lirası ve devlet tahvili dışındaki döviz kabul edilmeyecektir) veya bu miktar milli bir bankanın teminat mektubunu vermeleri lazımdır. Satış peşin para iledir, alıcı istediğinde 10 günü geçmemek üzere mehil verilebilir. </w:t>
      </w:r>
      <w:proofErr w:type="gramStart"/>
      <w:r>
        <w:t>Tellaliye</w:t>
      </w:r>
      <w:proofErr w:type="gramEnd"/>
      <w:r>
        <w:t xml:space="preserve"> resmi, tapu satım harcı satış bedelinden ödenecek, damga resmi, tahliye ve teslim </w:t>
      </w:r>
      <w:proofErr w:type="spellStart"/>
      <w:r>
        <w:t>masraflan</w:t>
      </w:r>
      <w:proofErr w:type="spellEnd"/>
      <w:r>
        <w:t xml:space="preserve"> ile % 18 KDV, tapu alım harcı alıcıya aittir. Birikmiş vergiler satış bedelinden ödenir.</w:t>
      </w:r>
    </w:p>
    <w:p w:rsidR="00BE52FE" w:rsidRDefault="005448B3">
      <w:pPr>
        <w:pStyle w:val="Gvdemetni0"/>
        <w:numPr>
          <w:ilvl w:val="0"/>
          <w:numId w:val="1"/>
        </w:numPr>
        <w:shd w:val="clear" w:color="auto" w:fill="auto"/>
        <w:tabs>
          <w:tab w:val="left" w:pos="193"/>
        </w:tabs>
        <w:spacing w:line="216" w:lineRule="exact"/>
        <w:ind w:left="20" w:right="60"/>
        <w:jc w:val="left"/>
      </w:pPr>
      <w:r>
        <w:t xml:space="preserve">İpotek sahibi alacaklılarla diğer ilgililerin (*) bu gayrimenkul üzerindeki </w:t>
      </w:r>
      <w:proofErr w:type="spellStart"/>
      <w:r>
        <w:t>haklannı</w:t>
      </w:r>
      <w:proofErr w:type="spellEnd"/>
      <w:r>
        <w:t xml:space="preserve"> hususiyle faiz ve masrafa dair olan iddialarını dayanağı belgeler ile on beş gün içinde dairemize bildirmeleri lazımdır, </w:t>
      </w:r>
      <w:proofErr w:type="gramStart"/>
      <w:r>
        <w:t>aksi</w:t>
      </w:r>
      <w:proofErr w:type="gramEnd"/>
      <w:r>
        <w:t xml:space="preserve"> takdirde haklan tapu sicili ile sabit olmadıkça paylaşmadan hariç bırakılacaklardır.</w:t>
      </w:r>
    </w:p>
    <w:p w:rsidR="00BE52FE" w:rsidRDefault="005448B3">
      <w:pPr>
        <w:pStyle w:val="Gvdemetni0"/>
        <w:numPr>
          <w:ilvl w:val="0"/>
          <w:numId w:val="1"/>
        </w:numPr>
        <w:shd w:val="clear" w:color="auto" w:fill="auto"/>
        <w:tabs>
          <w:tab w:val="left" w:pos="198"/>
        </w:tabs>
        <w:spacing w:line="216" w:lineRule="exact"/>
        <w:ind w:left="20" w:right="60"/>
        <w:jc w:val="left"/>
      </w:pPr>
      <w:r>
        <w:t xml:space="preserve">İhaleye katılıp daha sonra ihale bedelini yatırmamak suretiyle ihalenin feshine sebep olan tüm alıcılar ve kefilleri teklif ettikleri bedel ile son ihale bedeli, arasındaki farktan ve diğer zararlardan </w:t>
      </w:r>
      <w:proofErr w:type="spellStart"/>
      <w:r>
        <w:t>aynca</w:t>
      </w:r>
      <w:proofErr w:type="spellEnd"/>
      <w:r>
        <w:t xml:space="preserve"> temerrüt faizinden </w:t>
      </w:r>
      <w:proofErr w:type="spellStart"/>
      <w:r>
        <w:t>müteselsilen</w:t>
      </w:r>
      <w:proofErr w:type="spellEnd"/>
      <w:r>
        <w:t xml:space="preserve"> mesul olacaklardır. İhale farkı ve temerrüt faizi </w:t>
      </w:r>
      <w:proofErr w:type="spellStart"/>
      <w:r>
        <w:t>aynca</w:t>
      </w:r>
      <w:proofErr w:type="spellEnd"/>
      <w:r>
        <w:t xml:space="preserve"> hükme hacet kalmaksızın dairemizce tahsil olunacak, bu fark, varsa öncelikle teminat bedelinden alınacaktır.</w:t>
      </w:r>
    </w:p>
    <w:p w:rsidR="00BE52FE" w:rsidRDefault="005448B3">
      <w:pPr>
        <w:pStyle w:val="Gvdemetni0"/>
        <w:numPr>
          <w:ilvl w:val="0"/>
          <w:numId w:val="1"/>
        </w:numPr>
        <w:shd w:val="clear" w:color="auto" w:fill="auto"/>
        <w:tabs>
          <w:tab w:val="left" w:pos="198"/>
        </w:tabs>
        <w:spacing w:line="221" w:lineRule="exact"/>
        <w:ind w:left="20" w:right="60"/>
        <w:jc w:val="left"/>
      </w:pPr>
      <w:r>
        <w:t>Şartname, ilan tarihinden itibaren herkesin görebilmesi için dairede açık olup masrafı verildiği takdirde isteyen alıcıya bir örneği gönderilebilir</w:t>
      </w:r>
    </w:p>
    <w:p w:rsidR="00BE52FE" w:rsidRDefault="005448B3">
      <w:pPr>
        <w:pStyle w:val="Gvdemetni0"/>
        <w:numPr>
          <w:ilvl w:val="0"/>
          <w:numId w:val="1"/>
        </w:numPr>
        <w:shd w:val="clear" w:color="auto" w:fill="auto"/>
        <w:tabs>
          <w:tab w:val="left" w:pos="198"/>
        </w:tabs>
        <w:spacing w:after="245" w:line="221" w:lineRule="exact"/>
        <w:ind w:left="20" w:right="60"/>
      </w:pPr>
      <w:r>
        <w:t xml:space="preserve">Satışa iştirak edenlerin şartnameyi görmüş ve </w:t>
      </w:r>
      <w:proofErr w:type="spellStart"/>
      <w:r>
        <w:t>münderacatını</w:t>
      </w:r>
      <w:proofErr w:type="spellEnd"/>
      <w:r>
        <w:t xml:space="preserve"> kabul etmiş sayılacakları, başkaca bilgi almak isteyenlerin yukarıda yazılı dosya numarası ile Müdürlüğümüze </w:t>
      </w:r>
      <w:proofErr w:type="spellStart"/>
      <w:r>
        <w:t>başvurmalan</w:t>
      </w:r>
      <w:proofErr w:type="spellEnd"/>
      <w:r>
        <w:t xml:space="preserve"> ile satış ilanının tebliğ edilemeyen alakadarlara ilanen tebliğ yerine kaim olacağı ilan olunur.</w:t>
      </w:r>
    </w:p>
    <w:p w:rsidR="00BE52FE" w:rsidRDefault="005448B3">
      <w:pPr>
        <w:pStyle w:val="Gvdemetni0"/>
        <w:shd w:val="clear" w:color="auto" w:fill="auto"/>
        <w:spacing w:after="35" w:line="140" w:lineRule="exact"/>
        <w:ind w:left="20"/>
        <w:jc w:val="left"/>
      </w:pPr>
      <w:r>
        <w:t xml:space="preserve">(*) İlgililer tabirine irtifak hakkı </w:t>
      </w:r>
      <w:proofErr w:type="spellStart"/>
      <w:r>
        <w:t>sahipleride</w:t>
      </w:r>
      <w:proofErr w:type="spellEnd"/>
      <w:r>
        <w:t xml:space="preserve"> </w:t>
      </w:r>
      <w:proofErr w:type="gramStart"/>
      <w:r>
        <w:t>dahildir</w:t>
      </w:r>
      <w:proofErr w:type="gramEnd"/>
      <w:r>
        <w:t>.</w:t>
      </w:r>
    </w:p>
    <w:p w:rsidR="00BE52FE" w:rsidRDefault="005448B3">
      <w:pPr>
        <w:pStyle w:val="Gvdemetni0"/>
        <w:shd w:val="clear" w:color="auto" w:fill="auto"/>
        <w:spacing w:line="140" w:lineRule="exact"/>
        <w:ind w:right="220"/>
        <w:jc w:val="right"/>
        <w:sectPr w:rsidR="00BE52FE">
          <w:type w:val="continuous"/>
          <w:pgSz w:w="16838" w:h="16834" w:orient="landscape"/>
          <w:pgMar w:top="4524" w:right="1987" w:bottom="4457" w:left="1853" w:header="0" w:footer="3" w:gutter="0"/>
          <w:cols w:num="2" w:sep="1" w:space="225"/>
          <w:noEndnote/>
          <w:docGrid w:linePitch="360"/>
        </w:sectPr>
      </w:pPr>
      <w:r>
        <w:t>B</w:t>
      </w:r>
      <w:proofErr w:type="gramStart"/>
      <w:r>
        <w:t>.:</w:t>
      </w:r>
      <w:proofErr w:type="gramEnd"/>
      <w:r>
        <w:t xml:space="preserve"> 41449 </w:t>
      </w:r>
      <w:hyperlink r:id="rId7" w:history="1">
        <w:r>
          <w:rPr>
            <w:rStyle w:val="Kpr"/>
            <w:lang w:val="en-US"/>
          </w:rPr>
          <w:t>www.bik.gov.tr</w:t>
        </w:r>
      </w:hyperlink>
    </w:p>
    <w:p w:rsidR="00BE52FE" w:rsidRDefault="00BE52FE">
      <w:pPr>
        <w:spacing w:line="177" w:lineRule="exact"/>
        <w:rPr>
          <w:sz w:val="14"/>
          <w:szCs w:val="14"/>
        </w:rPr>
      </w:pPr>
    </w:p>
    <w:p w:rsidR="00BE52FE" w:rsidRDefault="00BE52FE">
      <w:pPr>
        <w:rPr>
          <w:sz w:val="2"/>
          <w:szCs w:val="2"/>
        </w:rPr>
        <w:sectPr w:rsidR="00BE52FE">
          <w:type w:val="continuous"/>
          <w:pgSz w:w="16838" w:h="16834" w:orient="landscape"/>
          <w:pgMar w:top="0" w:right="0" w:bottom="0" w:left="0" w:header="0" w:footer="3" w:gutter="0"/>
          <w:cols w:space="720"/>
          <w:noEndnote/>
          <w:docGrid w:linePitch="360"/>
        </w:sectPr>
      </w:pPr>
    </w:p>
    <w:p w:rsidR="00BE52FE" w:rsidRDefault="00BE52FE" w:rsidP="00374484">
      <w:pPr>
        <w:pStyle w:val="Balk20"/>
        <w:keepNext/>
        <w:keepLines/>
        <w:shd w:val="clear" w:color="auto" w:fill="000000"/>
        <w:spacing w:line="160" w:lineRule="exact"/>
      </w:pPr>
    </w:p>
    <w:sectPr w:rsidR="00BE52FE" w:rsidSect="00BE52FE">
      <w:type w:val="continuous"/>
      <w:pgSz w:w="16838" w:h="16834" w:orient="landscape"/>
      <w:pgMar w:top="4524" w:right="6869" w:bottom="4457" w:left="68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E8" w:rsidRDefault="00E77AE8" w:rsidP="00BE52FE">
      <w:r>
        <w:separator/>
      </w:r>
    </w:p>
  </w:endnote>
  <w:endnote w:type="continuationSeparator" w:id="0">
    <w:p w:rsidR="00E77AE8" w:rsidRDefault="00E77AE8" w:rsidP="00BE52F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E8" w:rsidRDefault="00E77AE8"/>
  </w:footnote>
  <w:footnote w:type="continuationSeparator" w:id="0">
    <w:p w:rsidR="00E77AE8" w:rsidRDefault="00E77A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C77"/>
    <w:multiLevelType w:val="multilevel"/>
    <w:tmpl w:val="CF3A71C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E52FE"/>
    <w:rsid w:val="00374484"/>
    <w:rsid w:val="005239A6"/>
    <w:rsid w:val="005448B3"/>
    <w:rsid w:val="007805DE"/>
    <w:rsid w:val="00BE52FE"/>
    <w:rsid w:val="00CD5104"/>
    <w:rsid w:val="00E77A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52F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E52FE"/>
    <w:rPr>
      <w:color w:val="000080"/>
      <w:u w:val="single"/>
    </w:rPr>
  </w:style>
  <w:style w:type="character" w:customStyle="1" w:styleId="Balk1">
    <w:name w:val="Başlık #1_"/>
    <w:basedOn w:val="VarsaylanParagrafYazTipi"/>
    <w:link w:val="Balk10"/>
    <w:rsid w:val="00BE52FE"/>
    <w:rPr>
      <w:rFonts w:ascii="Book Antiqua" w:eastAsia="Book Antiqua" w:hAnsi="Book Antiqua" w:cs="Book Antiqua"/>
      <w:b/>
      <w:bCs/>
      <w:i w:val="0"/>
      <w:iCs w:val="0"/>
      <w:smallCaps w:val="0"/>
      <w:strike w:val="0"/>
      <w:spacing w:val="10"/>
      <w:sz w:val="22"/>
      <w:szCs w:val="22"/>
      <w:u w:val="none"/>
    </w:rPr>
  </w:style>
  <w:style w:type="character" w:customStyle="1" w:styleId="Balk11">
    <w:name w:val="Başlık #1"/>
    <w:basedOn w:val="Balk1"/>
    <w:rsid w:val="00BE52FE"/>
    <w:rPr>
      <w:color w:val="FFFFFF"/>
      <w:w w:val="100"/>
      <w:position w:val="0"/>
      <w:lang w:val="tr-TR"/>
    </w:rPr>
  </w:style>
  <w:style w:type="character" w:customStyle="1" w:styleId="Gvdemetni2">
    <w:name w:val="Gövde metni (2)_"/>
    <w:basedOn w:val="VarsaylanParagrafYazTipi"/>
    <w:link w:val="Gvdemetni20"/>
    <w:rsid w:val="00BE52FE"/>
    <w:rPr>
      <w:rFonts w:ascii="Book Antiqua" w:eastAsia="Book Antiqua" w:hAnsi="Book Antiqua" w:cs="Book Antiqua"/>
      <w:b/>
      <w:bCs/>
      <w:i w:val="0"/>
      <w:iCs w:val="0"/>
      <w:smallCaps w:val="0"/>
      <w:strike w:val="0"/>
      <w:sz w:val="14"/>
      <w:szCs w:val="14"/>
      <w:u w:val="none"/>
    </w:rPr>
  </w:style>
  <w:style w:type="character" w:customStyle="1" w:styleId="Gvdemetni">
    <w:name w:val="Gövde metni_"/>
    <w:basedOn w:val="VarsaylanParagrafYazTipi"/>
    <w:link w:val="Gvdemetni0"/>
    <w:rsid w:val="00BE52FE"/>
    <w:rPr>
      <w:rFonts w:ascii="Book Antiqua" w:eastAsia="Book Antiqua" w:hAnsi="Book Antiqua" w:cs="Book Antiqua"/>
      <w:b w:val="0"/>
      <w:bCs w:val="0"/>
      <w:i w:val="0"/>
      <w:iCs w:val="0"/>
      <w:smallCaps w:val="0"/>
      <w:strike w:val="0"/>
      <w:sz w:val="14"/>
      <w:szCs w:val="14"/>
      <w:u w:val="none"/>
    </w:rPr>
  </w:style>
  <w:style w:type="character" w:customStyle="1" w:styleId="GvdemetniKaln">
    <w:name w:val="Gövde metni + Kalın"/>
    <w:basedOn w:val="Gvdemetni"/>
    <w:rsid w:val="00BE52FE"/>
    <w:rPr>
      <w:b/>
      <w:bCs/>
      <w:color w:val="000000"/>
      <w:spacing w:val="0"/>
      <w:w w:val="100"/>
      <w:position w:val="0"/>
      <w:lang w:val="tr-TR"/>
    </w:rPr>
  </w:style>
  <w:style w:type="character" w:customStyle="1" w:styleId="GvdemetniBookmanOldStyle75pttalik">
    <w:name w:val="Gövde metni + Bookman Old Style;7;5 pt;İtalik"/>
    <w:basedOn w:val="Gvdemetni"/>
    <w:rsid w:val="00BE52FE"/>
    <w:rPr>
      <w:rFonts w:ascii="Bookman Old Style" w:eastAsia="Bookman Old Style" w:hAnsi="Bookman Old Style" w:cs="Bookman Old Style"/>
      <w:i/>
      <w:iCs/>
      <w:color w:val="000000"/>
      <w:spacing w:val="0"/>
      <w:w w:val="100"/>
      <w:position w:val="0"/>
      <w:sz w:val="15"/>
      <w:szCs w:val="15"/>
    </w:rPr>
  </w:style>
  <w:style w:type="character" w:customStyle="1" w:styleId="Balk2">
    <w:name w:val="Başlık #2_"/>
    <w:basedOn w:val="VarsaylanParagrafYazTipi"/>
    <w:link w:val="Balk20"/>
    <w:rsid w:val="00BE52FE"/>
    <w:rPr>
      <w:rFonts w:ascii="Book Antiqua" w:eastAsia="Book Antiqua" w:hAnsi="Book Antiqua" w:cs="Book Antiqua"/>
      <w:b w:val="0"/>
      <w:bCs w:val="0"/>
      <w:i w:val="0"/>
      <w:iCs w:val="0"/>
      <w:smallCaps w:val="0"/>
      <w:strike w:val="0"/>
      <w:sz w:val="16"/>
      <w:szCs w:val="16"/>
      <w:u w:val="none"/>
    </w:rPr>
  </w:style>
  <w:style w:type="character" w:customStyle="1" w:styleId="Balk21">
    <w:name w:val="Başlık #2"/>
    <w:basedOn w:val="Balk2"/>
    <w:rsid w:val="00BE52FE"/>
    <w:rPr>
      <w:color w:val="FFFFFF"/>
      <w:spacing w:val="0"/>
      <w:w w:val="100"/>
      <w:position w:val="0"/>
      <w:lang w:val="tr-TR"/>
    </w:rPr>
  </w:style>
  <w:style w:type="paragraph" w:customStyle="1" w:styleId="Balk10">
    <w:name w:val="Başlık #1"/>
    <w:basedOn w:val="Normal"/>
    <w:link w:val="Balk1"/>
    <w:rsid w:val="00BE52FE"/>
    <w:pPr>
      <w:shd w:val="clear" w:color="auto" w:fill="FFFFFF"/>
      <w:spacing w:line="331" w:lineRule="exact"/>
      <w:jc w:val="center"/>
      <w:outlineLvl w:val="0"/>
    </w:pPr>
    <w:rPr>
      <w:rFonts w:ascii="Book Antiqua" w:eastAsia="Book Antiqua" w:hAnsi="Book Antiqua" w:cs="Book Antiqua"/>
      <w:b/>
      <w:bCs/>
      <w:spacing w:val="10"/>
      <w:sz w:val="22"/>
      <w:szCs w:val="22"/>
    </w:rPr>
  </w:style>
  <w:style w:type="paragraph" w:customStyle="1" w:styleId="Gvdemetni20">
    <w:name w:val="Gövde metni (2)"/>
    <w:basedOn w:val="Normal"/>
    <w:link w:val="Gvdemetni2"/>
    <w:rsid w:val="00BE52FE"/>
    <w:pPr>
      <w:shd w:val="clear" w:color="auto" w:fill="FFFFFF"/>
      <w:spacing w:line="211" w:lineRule="exact"/>
      <w:jc w:val="both"/>
    </w:pPr>
    <w:rPr>
      <w:rFonts w:ascii="Book Antiqua" w:eastAsia="Book Antiqua" w:hAnsi="Book Antiqua" w:cs="Book Antiqua"/>
      <w:b/>
      <w:bCs/>
      <w:sz w:val="14"/>
      <w:szCs w:val="14"/>
    </w:rPr>
  </w:style>
  <w:style w:type="paragraph" w:customStyle="1" w:styleId="Gvdemetni0">
    <w:name w:val="Gövde metni"/>
    <w:basedOn w:val="Normal"/>
    <w:link w:val="Gvdemetni"/>
    <w:rsid w:val="00BE52FE"/>
    <w:pPr>
      <w:shd w:val="clear" w:color="auto" w:fill="FFFFFF"/>
      <w:spacing w:line="211" w:lineRule="exact"/>
      <w:jc w:val="both"/>
    </w:pPr>
    <w:rPr>
      <w:rFonts w:ascii="Book Antiqua" w:eastAsia="Book Antiqua" w:hAnsi="Book Antiqua" w:cs="Book Antiqua"/>
      <w:sz w:val="14"/>
      <w:szCs w:val="14"/>
    </w:rPr>
  </w:style>
  <w:style w:type="paragraph" w:customStyle="1" w:styleId="Balk20">
    <w:name w:val="Başlık #2"/>
    <w:basedOn w:val="Normal"/>
    <w:link w:val="Balk2"/>
    <w:rsid w:val="00BE52FE"/>
    <w:pPr>
      <w:shd w:val="clear" w:color="auto" w:fill="FFFFFF"/>
      <w:spacing w:line="0" w:lineRule="atLeast"/>
      <w:outlineLvl w:val="1"/>
    </w:pPr>
    <w:rPr>
      <w:rFonts w:ascii="Book Antiqua" w:eastAsia="Book Antiqua" w:hAnsi="Book Antiqua" w:cs="Book Antiqu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2012-06-30T11:30:00Z</dcterms:created>
  <dcterms:modified xsi:type="dcterms:W3CDTF">2012-06-30T11:30:00Z</dcterms:modified>
</cp:coreProperties>
</file>