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64" w:rsidRDefault="00F3071F">
      <w:pPr>
        <w:pStyle w:val="Balk10"/>
        <w:framePr w:w="6427" w:h="865" w:hRule="exact" w:wrap="none" w:vAnchor="page" w:hAnchor="page" w:x="3030" w:y="2568"/>
        <w:shd w:val="clear" w:color="auto" w:fill="auto"/>
        <w:spacing w:after="0"/>
        <w:ind w:left="20"/>
      </w:pPr>
      <w:bookmarkStart w:id="0" w:name="bookmark0"/>
      <w:r>
        <w:t xml:space="preserve">TAŞINMAZIN AÇIK ARTIRMA İLANI T.C. KONYA 6. İCRA MÜDÜRLÜĞÜ </w:t>
      </w:r>
      <w:r>
        <w:rPr>
          <w:rStyle w:val="Balk17pt0ptbolukbraklyor"/>
        </w:rPr>
        <w:t>DOSYA NO: 2007/5529 E.</w:t>
      </w:r>
      <w:bookmarkEnd w:id="0"/>
    </w:p>
    <w:p w:rsidR="00583A64" w:rsidRDefault="00F3071F">
      <w:pPr>
        <w:pStyle w:val="Gvdemetni0"/>
        <w:framePr w:w="6427" w:h="10695" w:hRule="exact" w:wrap="none" w:vAnchor="page" w:hAnchor="page" w:x="3030" w:y="3622"/>
        <w:shd w:val="clear" w:color="auto" w:fill="auto"/>
        <w:spacing w:before="0"/>
        <w:ind w:left="20"/>
      </w:pPr>
      <w:r>
        <w:t>SATILMASINA KARAR VERİLEN TAŞINMAZIN CİNSİ, KIYMETİ, ADEDİ, EVSAFI:</w:t>
      </w:r>
    </w:p>
    <w:p w:rsidR="00583A64" w:rsidRDefault="00F3071F">
      <w:pPr>
        <w:pStyle w:val="Gvdemetni0"/>
        <w:framePr w:w="6427" w:h="10695" w:hRule="exact" w:wrap="none" w:vAnchor="page" w:hAnchor="page" w:x="3030" w:y="3622"/>
        <w:shd w:val="clear" w:color="auto" w:fill="auto"/>
        <w:spacing w:before="0"/>
        <w:ind w:left="20"/>
      </w:pPr>
      <w:r>
        <w:t>1 -NOLU ŞARTNAME:</w:t>
      </w:r>
    </w:p>
    <w:p w:rsidR="00583A64" w:rsidRDefault="00F3071F">
      <w:pPr>
        <w:pStyle w:val="Gvdemetni0"/>
        <w:framePr w:w="6427" w:h="10695" w:hRule="exact" w:wrap="none" w:vAnchor="page" w:hAnchor="page" w:x="3030" w:y="3622"/>
        <w:shd w:val="clear" w:color="auto" w:fill="auto"/>
        <w:spacing w:before="0"/>
        <w:ind w:left="20" w:right="20"/>
      </w:pPr>
      <w:r>
        <w:t xml:space="preserve">TAPU KAYDI-EVSAFI: Konya Selçuklu Dikilitaş mah. 48/4885 cilt/sayfa, </w:t>
      </w:r>
      <w:r>
        <w:t>13865/37 ada/ parsel de kayıtlıdır.</w:t>
      </w:r>
    </w:p>
    <w:p w:rsidR="00583A64" w:rsidRDefault="00F3071F">
      <w:pPr>
        <w:pStyle w:val="Gvdemetni0"/>
        <w:framePr w:w="6427" w:h="10695" w:hRule="exact" w:wrap="none" w:vAnchor="page" w:hAnchor="page" w:x="3030" w:y="3622"/>
        <w:shd w:val="clear" w:color="auto" w:fill="auto"/>
        <w:spacing w:before="0"/>
        <w:ind w:left="20" w:right="20"/>
      </w:pPr>
      <w:r>
        <w:t xml:space="preserve">TAŞINMAZ ADRESİ: Konya ili Selçuklu ilçesi </w:t>
      </w:r>
      <w:proofErr w:type="spellStart"/>
      <w:r>
        <w:t>Horozluharı</w:t>
      </w:r>
      <w:proofErr w:type="spellEnd"/>
      <w:r>
        <w:t xml:space="preserve"> mah. </w:t>
      </w:r>
      <w:proofErr w:type="spellStart"/>
      <w:r>
        <w:t>Kurtbey</w:t>
      </w:r>
      <w:proofErr w:type="spellEnd"/>
      <w:r>
        <w:t>, Ardıçkuşu, pehlivanlı sokağına cephelidir.</w:t>
      </w:r>
    </w:p>
    <w:p w:rsidR="00583A64" w:rsidRDefault="00F3071F">
      <w:pPr>
        <w:pStyle w:val="Gvdemetni0"/>
        <w:framePr w:w="6427" w:h="10695" w:hRule="exact" w:wrap="none" w:vAnchor="page" w:hAnchor="page" w:x="3030" w:y="3622"/>
        <w:shd w:val="clear" w:color="auto" w:fill="auto"/>
        <w:spacing w:before="0"/>
        <w:ind w:left="20" w:right="20"/>
        <w:jc w:val="left"/>
      </w:pPr>
      <w:r>
        <w:t>TAŞINMAZIN DEĞERİ: 2457/4915 (2.457 m2) hissenin değeri 1.513.485,00 TL KDV ORANI: %18</w:t>
      </w:r>
    </w:p>
    <w:p w:rsidR="00583A64" w:rsidRDefault="00F3071F">
      <w:pPr>
        <w:pStyle w:val="Gvdemetni0"/>
        <w:framePr w:w="6427" w:h="10695" w:hRule="exact" w:wrap="none" w:vAnchor="page" w:hAnchor="page" w:x="3030" w:y="3622"/>
        <w:shd w:val="clear" w:color="auto" w:fill="auto"/>
        <w:spacing w:before="0"/>
        <w:ind w:left="20" w:right="20"/>
      </w:pPr>
      <w:r>
        <w:t>İMAR DURUMU: Satışı y</w:t>
      </w:r>
      <w:r>
        <w:t xml:space="preserve">apılacak olan yer 4.915 m2 arsanın 2457/4915 hissesi olan 2.457 m2 si taşınmazdır. Taşınmaz tapuda arsa olarak gözükmekte ise de arsa üzerinde asma ve zemin katı olan dükkânlar vardır. 4.915 m2 arsanın tamamının üzerinde 44 adet dükkân bulunmaktadır. 4915 </w:t>
      </w:r>
      <w:r>
        <w:t xml:space="preserve">m2 arsa vasıflı taşınmazın sadece 2457/4915 (2.457 m2 si) borçlu S.S.Topkapı Toplu işyeri </w:t>
      </w:r>
      <w:proofErr w:type="spellStart"/>
      <w:proofErr w:type="gramStart"/>
      <w:r>
        <w:t>Koop</w:t>
      </w:r>
      <w:proofErr w:type="spellEnd"/>
      <w:r>
        <w:t>.ne</w:t>
      </w:r>
      <w:proofErr w:type="gramEnd"/>
      <w:r>
        <w:t xml:space="preserve"> ait olup satışı yapılacaktır. Arsa üzerinde bulunan dükkânların kat irtifakı kurulmamış olup bağımsız bölümler belirlenmemiş, kat mülkiyetine geçilmemiştir. D</w:t>
      </w:r>
      <w:r>
        <w:t xml:space="preserve">ükkanların tabanları beton, camekan </w:t>
      </w:r>
      <w:proofErr w:type="gramStart"/>
      <w:r>
        <w:t>profil</w:t>
      </w:r>
      <w:proofErr w:type="gramEnd"/>
      <w:r>
        <w:t xml:space="preserve"> doğrama, iç duvar ve dış duvar yüzeyleri harç sıvalıdır, elektrik tesisatı vardır. Borçlunun hissesine ve arsasına isabet eden dükkânların tam adedi ve durumu bağımsız bölümler belirlenmediği ve kat mülkiyetine ge</w:t>
      </w:r>
      <w:r>
        <w:t>çilmediği için belirli değildir. Taşınmazın bulunduğu 37 parsel imar planında küçük sanatlar sanayisi sahasına isabet etmektedir.</w:t>
      </w:r>
    </w:p>
    <w:p w:rsidR="00583A64" w:rsidRDefault="00F3071F">
      <w:pPr>
        <w:pStyle w:val="Gvdemetni0"/>
        <w:framePr w:w="6427" w:h="10695" w:hRule="exact" w:wrap="none" w:vAnchor="page" w:hAnchor="page" w:x="3030" w:y="3622"/>
        <w:shd w:val="clear" w:color="auto" w:fill="auto"/>
        <w:spacing w:before="0"/>
        <w:ind w:left="20" w:right="20"/>
      </w:pPr>
      <w:r>
        <w:t>İHALE ADRESİ: Çimenlik Mahallesi Cemil Çiçek Caddesi Yeni Adliye Binası A-Blok Zemin kat Müzayede salonu -KONYA.</w:t>
      </w:r>
    </w:p>
    <w:p w:rsidR="00583A64" w:rsidRDefault="00F3071F">
      <w:pPr>
        <w:pStyle w:val="Gvdemetni0"/>
        <w:framePr w:w="6427" w:h="10695" w:hRule="exact" w:wrap="none" w:vAnchor="page" w:hAnchor="page" w:x="3030" w:y="3622"/>
        <w:shd w:val="clear" w:color="auto" w:fill="auto"/>
        <w:spacing w:before="0"/>
        <w:ind w:left="20"/>
      </w:pPr>
      <w:r>
        <w:t>TAŞINMAZ'IN S</w:t>
      </w:r>
      <w:r>
        <w:t>ATIŞ ŞARTLARI:</w:t>
      </w:r>
    </w:p>
    <w:p w:rsidR="00583A64" w:rsidRDefault="00F3071F">
      <w:pPr>
        <w:pStyle w:val="Gvdemetni0"/>
        <w:framePr w:w="6427" w:h="10695" w:hRule="exact" w:wrap="none" w:vAnchor="page" w:hAnchor="page" w:x="3030" w:y="3622"/>
        <w:numPr>
          <w:ilvl w:val="0"/>
          <w:numId w:val="1"/>
        </w:numPr>
        <w:shd w:val="clear" w:color="auto" w:fill="auto"/>
        <w:tabs>
          <w:tab w:val="left" w:pos="250"/>
        </w:tabs>
        <w:spacing w:before="0"/>
        <w:ind w:left="20" w:right="20"/>
      </w:pPr>
      <w:r>
        <w:t>)</w:t>
      </w:r>
      <w:r>
        <w:tab/>
        <w:t xml:space="preserve">Birinci satış 17.12.2012 GÜNÜ SAAT: </w:t>
      </w:r>
      <w:proofErr w:type="gramStart"/>
      <w:r>
        <w:t>14:45</w:t>
      </w:r>
      <w:proofErr w:type="gramEnd"/>
      <w:r>
        <w:t>-14:50 arasında açık artırma suretiyle yapılacaktır. Birinci satış gününde tahmin edilen kıymetin % 60’ım ve rüçhanlı alacaklılar varsa alacağı mecmuunu ve satış masraflarını geçmek şartı ile en çok</w:t>
      </w:r>
      <w:r>
        <w:t xml:space="preserve"> artırana ihale olunur. Böyle bir bedelle alıcı çıkmazsa en çok artıranın taahhüdü Baki kalmak şartıyla aynı yerde 27.12.2012 GÜNÜ </w:t>
      </w:r>
      <w:proofErr w:type="gramStart"/>
      <w:r>
        <w:t>SAAT :14</w:t>
      </w:r>
      <w:proofErr w:type="gramEnd"/>
      <w:r>
        <w:t>:45- 14:50 arasında ikinci artırmaya çıkarılacaktır. Bu artırmada da tahmin edilen kıymetin % 40’ı bulması ve satış i</w:t>
      </w:r>
      <w:r>
        <w:t>steyenin alacağına rüçhanı olan alacakların toplamından fazla olması ve bundan başka Paraya çevirme ve paylaştırma masraflarını geçmesi lazımdır.</w:t>
      </w:r>
    </w:p>
    <w:p w:rsidR="00583A64" w:rsidRDefault="00F3071F">
      <w:pPr>
        <w:pStyle w:val="Gvdemetni0"/>
        <w:framePr w:w="6427" w:h="10695" w:hRule="exact" w:wrap="none" w:vAnchor="page" w:hAnchor="page" w:x="3030" w:y="3622"/>
        <w:numPr>
          <w:ilvl w:val="0"/>
          <w:numId w:val="1"/>
        </w:numPr>
        <w:shd w:val="clear" w:color="auto" w:fill="auto"/>
        <w:tabs>
          <w:tab w:val="left" w:pos="226"/>
        </w:tabs>
        <w:spacing w:before="0"/>
        <w:ind w:left="20" w:right="20"/>
      </w:pPr>
      <w:r>
        <w:t>)</w:t>
      </w:r>
      <w:r>
        <w:tab/>
        <w:t xml:space="preserve">Artırmaya iştirak edeceklerin, tahmin edilen kıymetin % 20’ si oranında nakit veya milli bir bankanın </w:t>
      </w:r>
      <w:r>
        <w:t xml:space="preserve">teminat mektubunu yermeleri lazımdır. Satış peşin para iledir, alıcı istediğinde 10 günü geçmemek üzere mehil verilebilir. </w:t>
      </w:r>
      <w:proofErr w:type="gramStart"/>
      <w:r>
        <w:t>Tellaliye</w:t>
      </w:r>
      <w:proofErr w:type="gramEnd"/>
      <w:r>
        <w:t xml:space="preserve">, ihale damga resmi, katma değer vergisi, tapu harç ve </w:t>
      </w:r>
      <w:proofErr w:type="spellStart"/>
      <w:r>
        <w:t>masraflannın</w:t>
      </w:r>
      <w:proofErr w:type="spellEnd"/>
      <w:r>
        <w:t xml:space="preserve"> % si alıcıya aittir. Tapu harç ve masraflarının 1/2 si s</w:t>
      </w:r>
      <w:r>
        <w:t>atıcıya alıcıya aittir.</w:t>
      </w:r>
    </w:p>
    <w:p w:rsidR="00583A64" w:rsidRDefault="00F3071F">
      <w:pPr>
        <w:pStyle w:val="Gvdemetni0"/>
        <w:framePr w:w="6427" w:h="10695" w:hRule="exact" w:wrap="none" w:vAnchor="page" w:hAnchor="page" w:x="3030" w:y="3622"/>
        <w:numPr>
          <w:ilvl w:val="0"/>
          <w:numId w:val="1"/>
        </w:numPr>
        <w:shd w:val="clear" w:color="auto" w:fill="auto"/>
        <w:tabs>
          <w:tab w:val="left" w:pos="226"/>
        </w:tabs>
        <w:spacing w:before="0"/>
        <w:ind w:left="20" w:right="20"/>
      </w:pPr>
      <w:r>
        <w:t>)</w:t>
      </w:r>
      <w:r>
        <w:tab/>
        <w:t xml:space="preserve">Taşınmazı satın alanlar, ihaleye alacağına mahsuben iştirak etmemiş olmak kaydı </w:t>
      </w:r>
      <w:proofErr w:type="gramStart"/>
      <w:r>
        <w:t>ile,</w:t>
      </w:r>
      <w:proofErr w:type="gramEnd"/>
      <w:r>
        <w:t xml:space="preserve"> ihalenin feshi talep edilmiş olsa bile, satış bedelini derhal veya İİK. 130. mad. Gereğince verilen süre içinde ödemek zorundadırlar.</w:t>
      </w:r>
    </w:p>
    <w:p w:rsidR="00583A64" w:rsidRDefault="00F3071F">
      <w:pPr>
        <w:pStyle w:val="Gvdemetni0"/>
        <w:framePr w:w="6427" w:h="10695" w:hRule="exact" w:wrap="none" w:vAnchor="page" w:hAnchor="page" w:x="3030" w:y="3622"/>
        <w:numPr>
          <w:ilvl w:val="0"/>
          <w:numId w:val="1"/>
        </w:numPr>
        <w:shd w:val="clear" w:color="auto" w:fill="auto"/>
        <w:tabs>
          <w:tab w:val="left" w:pos="294"/>
        </w:tabs>
        <w:spacing w:before="0"/>
        <w:ind w:left="20" w:right="20"/>
      </w:pPr>
      <w:r>
        <w:t>)</w:t>
      </w:r>
      <w:r>
        <w:tab/>
        <w:t>İpotek sa</w:t>
      </w:r>
      <w:r>
        <w:t>hibi alacaklılarla, diğer ilgililer (x) bu gayrimenkul üzerinde ki haklarını hususiyle faiz ve masrafa dair olan iddialarını dayanağı belgeler ile ilan tarihinden 15 gün içinde dairemize bildirmeleri lazımdır. Aksi takdirde hakları tapu sicil ile sabit olm</w:t>
      </w:r>
      <w:r>
        <w:t>adıkça paylaştırmadan hariç bırakılacaklardır.</w:t>
      </w:r>
    </w:p>
    <w:p w:rsidR="00583A64" w:rsidRDefault="00F3071F">
      <w:pPr>
        <w:pStyle w:val="Gvdemetni0"/>
        <w:framePr w:w="6427" w:h="10695" w:hRule="exact" w:wrap="none" w:vAnchor="page" w:hAnchor="page" w:x="3030" w:y="3622"/>
        <w:numPr>
          <w:ilvl w:val="0"/>
          <w:numId w:val="1"/>
        </w:numPr>
        <w:shd w:val="clear" w:color="auto" w:fill="auto"/>
        <w:tabs>
          <w:tab w:val="left" w:pos="255"/>
        </w:tabs>
        <w:spacing w:before="0"/>
        <w:ind w:left="20" w:right="20"/>
      </w:pPr>
      <w:r>
        <w:t>)</w:t>
      </w:r>
      <w:r>
        <w:tab/>
        <w:t>İhaleye katılıp daha sonra ihale bedelini yatırmamak suretiyle ihalenin feshine sebep olan tüm alıcılar ve kefilleri teklif ettikleri tüm bedel ile son ihale bedeli arasındaki farktan ve diğer zararlardan ve</w:t>
      </w:r>
      <w:r>
        <w:t xml:space="preserve"> ayrıca temerrüt faizden </w:t>
      </w:r>
      <w:proofErr w:type="spellStart"/>
      <w:r>
        <w:t>müteselsilen</w:t>
      </w:r>
      <w:proofErr w:type="spellEnd"/>
      <w:r>
        <w:t xml:space="preserve"> mesul olacaklılardır. </w:t>
      </w:r>
      <w:proofErr w:type="gramStart"/>
      <w:r>
        <w:t>ihale</w:t>
      </w:r>
      <w:proofErr w:type="gramEnd"/>
      <w:r>
        <w:t xml:space="preserve"> farkı ve temerrüt faizi ayrıca hükme hacet kalmaksızın dairemizce tahsil olacak bu fark, varsa öncelikle teminat bedelinden alınacaktır.</w:t>
      </w:r>
    </w:p>
    <w:p w:rsidR="00583A64" w:rsidRDefault="00F3071F">
      <w:pPr>
        <w:pStyle w:val="Gvdemetni0"/>
        <w:framePr w:w="6427" w:h="10695" w:hRule="exact" w:wrap="none" w:vAnchor="page" w:hAnchor="page" w:x="3030" w:y="3622"/>
        <w:numPr>
          <w:ilvl w:val="0"/>
          <w:numId w:val="1"/>
        </w:numPr>
        <w:shd w:val="clear" w:color="auto" w:fill="auto"/>
        <w:tabs>
          <w:tab w:val="left" w:pos="260"/>
        </w:tabs>
        <w:spacing w:before="0"/>
        <w:ind w:left="20" w:right="20"/>
      </w:pPr>
      <w:r>
        <w:t>)</w:t>
      </w:r>
      <w:r>
        <w:tab/>
        <w:t>Şartname ilan tarihinden itibaren herkesin görebilm</w:t>
      </w:r>
      <w:r>
        <w:t>esi için dairede açık olup masrafı verildiği takdirde isteyen alıcıya bir örneği gönderilebilir.</w:t>
      </w:r>
    </w:p>
    <w:p w:rsidR="00583A64" w:rsidRDefault="00F3071F">
      <w:pPr>
        <w:pStyle w:val="Gvdemetni0"/>
        <w:framePr w:w="6427" w:h="10695" w:hRule="exact" w:wrap="none" w:vAnchor="page" w:hAnchor="page" w:x="3030" w:y="3622"/>
        <w:numPr>
          <w:ilvl w:val="0"/>
          <w:numId w:val="1"/>
        </w:numPr>
        <w:shd w:val="clear" w:color="auto" w:fill="auto"/>
        <w:tabs>
          <w:tab w:val="left" w:pos="246"/>
        </w:tabs>
        <w:spacing w:before="0"/>
        <w:ind w:left="20" w:right="20"/>
      </w:pPr>
      <w:r>
        <w:t>)</w:t>
      </w:r>
      <w:r>
        <w:tab/>
        <w:t>Satışa iştirak edenlerin şartnameyi görmüş ve münderecatını kabul etmiş sayılacakları başkaca bilgi almak isteyenlerin yukarıda yazılı dosya numarasıyla müdü</w:t>
      </w:r>
      <w:r>
        <w:t>rlüğümüze başvurmaları ilan olunur.</w:t>
      </w:r>
    </w:p>
    <w:p w:rsidR="00583A64" w:rsidRDefault="00F3071F">
      <w:pPr>
        <w:pStyle w:val="Gvdemetni0"/>
        <w:framePr w:w="6427" w:h="10695" w:hRule="exact" w:wrap="none" w:vAnchor="page" w:hAnchor="page" w:x="3030" w:y="3622"/>
        <w:numPr>
          <w:ilvl w:val="0"/>
          <w:numId w:val="1"/>
        </w:numPr>
        <w:shd w:val="clear" w:color="auto" w:fill="auto"/>
        <w:tabs>
          <w:tab w:val="left" w:pos="255"/>
        </w:tabs>
        <w:spacing w:before="0"/>
        <w:ind w:left="20" w:right="20"/>
      </w:pPr>
      <w:r>
        <w:t>)</w:t>
      </w:r>
      <w:r>
        <w:tab/>
        <w:t xml:space="preserve">Satış ilanı ilgililerin dosya ve tapu kaydında yazılı adreslerine tebliğe gönderilmiş olup, adreste tebligat yapılamaması halinde ilgililere yine bu adrese 7201 sayılı tebligat kanununun 35. maddesine göre tebligat </w:t>
      </w:r>
      <w:r>
        <w:t>çıkarılacağı adresleri bilinmeyenler içinse işbu satış ilanının, ilanen tebliğ yerine kaim olacağı ilan olunur.</w:t>
      </w:r>
    </w:p>
    <w:p w:rsidR="00583A64" w:rsidRDefault="00F3071F">
      <w:pPr>
        <w:pStyle w:val="Gvdemetni0"/>
        <w:framePr w:w="6427" w:h="10695" w:hRule="exact" w:wrap="none" w:vAnchor="page" w:hAnchor="page" w:x="3030" w:y="3622"/>
        <w:shd w:val="clear" w:color="auto" w:fill="auto"/>
        <w:spacing w:before="0"/>
        <w:ind w:left="20"/>
      </w:pPr>
      <w:r>
        <w:t xml:space="preserve">İ.İ.K. 126,127, Yönetmelik no: 27 (x) ilgililer tabirine irtifak hakkı sahipleri </w:t>
      </w:r>
      <w:proofErr w:type="gramStart"/>
      <w:r>
        <w:t>dahildir</w:t>
      </w:r>
      <w:proofErr w:type="gramEnd"/>
      <w:r>
        <w:t>.</w:t>
      </w:r>
    </w:p>
    <w:p w:rsidR="00583A64" w:rsidRDefault="00F3071F">
      <w:pPr>
        <w:pStyle w:val="Gvdemetni0"/>
        <w:framePr w:w="6427" w:h="10695" w:hRule="exact" w:wrap="none" w:vAnchor="page" w:hAnchor="page" w:x="3030" w:y="3622"/>
        <w:shd w:val="clear" w:color="auto" w:fill="auto"/>
        <w:spacing w:before="0"/>
        <w:ind w:left="4400" w:right="20"/>
        <w:jc w:val="right"/>
      </w:pPr>
      <w:r>
        <w:t xml:space="preserve">B:69627 </w:t>
      </w:r>
      <w:hyperlink r:id="rId7" w:history="1">
        <w:r>
          <w:rPr>
            <w:rStyle w:val="Kpr"/>
            <w:lang w:val="en-US"/>
          </w:rPr>
          <w:t>www.bik.gov.</w:t>
        </w:r>
        <w:r>
          <w:rPr>
            <w:rStyle w:val="Kpr"/>
            <w:lang w:val="en-US"/>
          </w:rPr>
          <w:t>tr</w:t>
        </w:r>
      </w:hyperlink>
      <w:r>
        <w:rPr>
          <w:lang w:val="en-US"/>
        </w:rPr>
        <w:t xml:space="preserve"> </w:t>
      </w:r>
      <w:r>
        <w:t>Resmi İlanlar www.ilan.gov.</w:t>
      </w:r>
      <w:proofErr w:type="spellStart"/>
      <w:r>
        <w:t>tr’de</w:t>
      </w:r>
      <w:proofErr w:type="spellEnd"/>
    </w:p>
    <w:p w:rsidR="00583A64" w:rsidRDefault="00583A64">
      <w:pPr>
        <w:rPr>
          <w:sz w:val="2"/>
          <w:szCs w:val="2"/>
        </w:rPr>
      </w:pPr>
    </w:p>
    <w:sectPr w:rsidR="00583A64" w:rsidSect="00583A64">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71F" w:rsidRDefault="00F3071F" w:rsidP="00583A64">
      <w:r>
        <w:separator/>
      </w:r>
    </w:p>
  </w:endnote>
  <w:endnote w:type="continuationSeparator" w:id="0">
    <w:p w:rsidR="00F3071F" w:rsidRDefault="00F3071F" w:rsidP="00583A6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61002A87" w:usb1="80000000" w:usb2="00000008" w:usb3="00000000" w:csb0="0001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71F" w:rsidRDefault="00F3071F"/>
  </w:footnote>
  <w:footnote w:type="continuationSeparator" w:id="0">
    <w:p w:rsidR="00F3071F" w:rsidRDefault="00F3071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D3019"/>
    <w:multiLevelType w:val="multilevel"/>
    <w:tmpl w:val="A594AF9E"/>
    <w:lvl w:ilvl="0">
      <w:start w:val="1"/>
      <w:numFmt w:val="decimal"/>
      <w:lvlText w:val="%1-"/>
      <w:lvlJc w:val="left"/>
      <w:rPr>
        <w:rFonts w:ascii="Tahoma" w:eastAsia="Tahoma" w:hAnsi="Tahoma" w:cs="Tahoma"/>
        <w:b w:val="0"/>
        <w:bCs w:val="0"/>
        <w:i w:val="0"/>
        <w:iCs w:val="0"/>
        <w:smallCaps w:val="0"/>
        <w:strike w:val="0"/>
        <w:color w:val="000000"/>
        <w:spacing w:val="-5"/>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83A64"/>
    <w:rsid w:val="004A4745"/>
    <w:rsid w:val="00583A64"/>
    <w:rsid w:val="00F307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3A6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83A64"/>
    <w:rPr>
      <w:color w:val="000080"/>
      <w:u w:val="single"/>
    </w:rPr>
  </w:style>
  <w:style w:type="character" w:customStyle="1" w:styleId="Gvdemetni2">
    <w:name w:val="Gövde metni (2)_"/>
    <w:basedOn w:val="VarsaylanParagrafYazTipi"/>
    <w:link w:val="Gvdemetni20"/>
    <w:rsid w:val="00583A64"/>
    <w:rPr>
      <w:rFonts w:ascii="Tahoma" w:eastAsia="Tahoma" w:hAnsi="Tahoma" w:cs="Tahoma"/>
      <w:b w:val="0"/>
      <w:bCs w:val="0"/>
      <w:i/>
      <w:iCs/>
      <w:smallCaps w:val="0"/>
      <w:strike w:val="0"/>
      <w:sz w:val="16"/>
      <w:szCs w:val="16"/>
      <w:u w:val="none"/>
    </w:rPr>
  </w:style>
  <w:style w:type="character" w:customStyle="1" w:styleId="Gvdemetni3">
    <w:name w:val="Gövde metni (3)_"/>
    <w:basedOn w:val="VarsaylanParagrafYazTipi"/>
    <w:link w:val="Gvdemetni30"/>
    <w:rsid w:val="00583A64"/>
    <w:rPr>
      <w:rFonts w:ascii="Tahoma" w:eastAsia="Tahoma" w:hAnsi="Tahoma" w:cs="Tahoma"/>
      <w:b w:val="0"/>
      <w:bCs w:val="0"/>
      <w:i/>
      <w:iCs/>
      <w:smallCaps w:val="0"/>
      <w:strike w:val="0"/>
      <w:sz w:val="14"/>
      <w:szCs w:val="14"/>
      <w:u w:val="none"/>
    </w:rPr>
  </w:style>
  <w:style w:type="character" w:customStyle="1" w:styleId="Gvdemetni4">
    <w:name w:val="Gövde metni (4)_"/>
    <w:basedOn w:val="VarsaylanParagrafYazTipi"/>
    <w:link w:val="Gvdemetni40"/>
    <w:rsid w:val="00583A64"/>
    <w:rPr>
      <w:rFonts w:ascii="Tahoma" w:eastAsia="Tahoma" w:hAnsi="Tahoma" w:cs="Tahoma"/>
      <w:b/>
      <w:bCs/>
      <w:i w:val="0"/>
      <w:iCs w:val="0"/>
      <w:smallCaps w:val="0"/>
      <w:strike w:val="0"/>
      <w:sz w:val="19"/>
      <w:szCs w:val="19"/>
      <w:u w:val="none"/>
    </w:rPr>
  </w:style>
  <w:style w:type="character" w:customStyle="1" w:styleId="Gvdemetni5">
    <w:name w:val="Gövde metni (5)_"/>
    <w:basedOn w:val="VarsaylanParagrafYazTipi"/>
    <w:link w:val="Gvdemetni50"/>
    <w:rsid w:val="00583A64"/>
    <w:rPr>
      <w:rFonts w:ascii="Trebuchet MS" w:eastAsia="Trebuchet MS" w:hAnsi="Trebuchet MS" w:cs="Trebuchet MS"/>
      <w:b w:val="0"/>
      <w:bCs w:val="0"/>
      <w:i/>
      <w:iCs/>
      <w:smallCaps w:val="0"/>
      <w:strike w:val="0"/>
      <w:sz w:val="19"/>
      <w:szCs w:val="19"/>
      <w:u w:val="none"/>
    </w:rPr>
  </w:style>
  <w:style w:type="character" w:customStyle="1" w:styleId="Gvdemetni6">
    <w:name w:val="Gövde metni (6)_"/>
    <w:basedOn w:val="VarsaylanParagrafYazTipi"/>
    <w:link w:val="Gvdemetni60"/>
    <w:rsid w:val="00583A64"/>
    <w:rPr>
      <w:rFonts w:ascii="Trebuchet MS" w:eastAsia="Trebuchet MS" w:hAnsi="Trebuchet MS" w:cs="Trebuchet MS"/>
      <w:b/>
      <w:bCs/>
      <w:i w:val="0"/>
      <w:iCs w:val="0"/>
      <w:smallCaps w:val="0"/>
      <w:strike w:val="0"/>
      <w:spacing w:val="18"/>
      <w:sz w:val="28"/>
      <w:szCs w:val="28"/>
      <w:u w:val="none"/>
    </w:rPr>
  </w:style>
  <w:style w:type="character" w:customStyle="1" w:styleId="Gvdemetni7">
    <w:name w:val="Gövde metni (7)_"/>
    <w:basedOn w:val="VarsaylanParagrafYazTipi"/>
    <w:link w:val="Gvdemetni70"/>
    <w:rsid w:val="00583A64"/>
    <w:rPr>
      <w:rFonts w:ascii="Arial Narrow" w:eastAsia="Arial Narrow" w:hAnsi="Arial Narrow" w:cs="Arial Narrow"/>
      <w:b/>
      <w:bCs/>
      <w:i w:val="0"/>
      <w:iCs w:val="0"/>
      <w:smallCaps w:val="0"/>
      <w:strike w:val="0"/>
      <w:sz w:val="22"/>
      <w:szCs w:val="22"/>
      <w:u w:val="none"/>
    </w:rPr>
  </w:style>
  <w:style w:type="character" w:customStyle="1" w:styleId="Gvdemetni8">
    <w:name w:val="Gövde metni (8)_"/>
    <w:basedOn w:val="VarsaylanParagrafYazTipi"/>
    <w:link w:val="Gvdemetni80"/>
    <w:rsid w:val="00583A64"/>
    <w:rPr>
      <w:rFonts w:ascii="Trebuchet MS" w:eastAsia="Trebuchet MS" w:hAnsi="Trebuchet MS" w:cs="Trebuchet MS"/>
      <w:b w:val="0"/>
      <w:bCs w:val="0"/>
      <w:i w:val="0"/>
      <w:iCs w:val="0"/>
      <w:smallCaps w:val="0"/>
      <w:strike w:val="0"/>
      <w:spacing w:val="17"/>
      <w:sz w:val="13"/>
      <w:szCs w:val="13"/>
      <w:u w:val="none"/>
    </w:rPr>
  </w:style>
  <w:style w:type="character" w:customStyle="1" w:styleId="Balk1">
    <w:name w:val="Başlık #1_"/>
    <w:basedOn w:val="VarsaylanParagrafYazTipi"/>
    <w:link w:val="Balk10"/>
    <w:rsid w:val="00583A64"/>
    <w:rPr>
      <w:rFonts w:ascii="Tahoma" w:eastAsia="Tahoma" w:hAnsi="Tahoma" w:cs="Tahoma"/>
      <w:b w:val="0"/>
      <w:bCs w:val="0"/>
      <w:i w:val="0"/>
      <w:iCs w:val="0"/>
      <w:smallCaps w:val="0"/>
      <w:strike w:val="0"/>
      <w:spacing w:val="-4"/>
      <w:sz w:val="16"/>
      <w:szCs w:val="16"/>
      <w:u w:val="none"/>
    </w:rPr>
  </w:style>
  <w:style w:type="character" w:customStyle="1" w:styleId="Balk17pt0ptbolukbraklyor">
    <w:name w:val="Başlık #1 + 7 pt;0 pt boşluk bırakılıyor"/>
    <w:basedOn w:val="Balk1"/>
    <w:rsid w:val="00583A64"/>
    <w:rPr>
      <w:color w:val="000000"/>
      <w:spacing w:val="-5"/>
      <w:w w:val="100"/>
      <w:position w:val="0"/>
      <w:sz w:val="14"/>
      <w:szCs w:val="14"/>
      <w:lang w:val="tr-TR"/>
    </w:rPr>
  </w:style>
  <w:style w:type="character" w:customStyle="1" w:styleId="Gvdemetni">
    <w:name w:val="Gövde metni_"/>
    <w:basedOn w:val="VarsaylanParagrafYazTipi"/>
    <w:link w:val="Gvdemetni0"/>
    <w:rsid w:val="00583A64"/>
    <w:rPr>
      <w:rFonts w:ascii="Tahoma" w:eastAsia="Tahoma" w:hAnsi="Tahoma" w:cs="Tahoma"/>
      <w:b w:val="0"/>
      <w:bCs w:val="0"/>
      <w:i w:val="0"/>
      <w:iCs w:val="0"/>
      <w:smallCaps w:val="0"/>
      <w:strike w:val="0"/>
      <w:spacing w:val="-5"/>
      <w:sz w:val="14"/>
      <w:szCs w:val="14"/>
      <w:u w:val="none"/>
    </w:rPr>
  </w:style>
  <w:style w:type="paragraph" w:customStyle="1" w:styleId="Gvdemetni20">
    <w:name w:val="Gövde metni (2)"/>
    <w:basedOn w:val="Normal"/>
    <w:link w:val="Gvdemetni2"/>
    <w:rsid w:val="00583A64"/>
    <w:pPr>
      <w:shd w:val="clear" w:color="auto" w:fill="FFFFFF"/>
      <w:spacing w:line="0" w:lineRule="atLeast"/>
    </w:pPr>
    <w:rPr>
      <w:rFonts w:ascii="Tahoma" w:eastAsia="Tahoma" w:hAnsi="Tahoma" w:cs="Tahoma"/>
      <w:i/>
      <w:iCs/>
      <w:sz w:val="16"/>
      <w:szCs w:val="16"/>
    </w:rPr>
  </w:style>
  <w:style w:type="paragraph" w:customStyle="1" w:styleId="Gvdemetni30">
    <w:name w:val="Gövde metni (3)"/>
    <w:basedOn w:val="Normal"/>
    <w:link w:val="Gvdemetni3"/>
    <w:rsid w:val="00583A64"/>
    <w:pPr>
      <w:shd w:val="clear" w:color="auto" w:fill="FFFFFF"/>
      <w:spacing w:after="180" w:line="0" w:lineRule="atLeast"/>
    </w:pPr>
    <w:rPr>
      <w:rFonts w:ascii="Tahoma" w:eastAsia="Tahoma" w:hAnsi="Tahoma" w:cs="Tahoma"/>
      <w:i/>
      <w:iCs/>
      <w:sz w:val="14"/>
      <w:szCs w:val="14"/>
    </w:rPr>
  </w:style>
  <w:style w:type="paragraph" w:customStyle="1" w:styleId="Gvdemetni40">
    <w:name w:val="Gövde metni (4)"/>
    <w:basedOn w:val="Normal"/>
    <w:link w:val="Gvdemetni4"/>
    <w:rsid w:val="00583A64"/>
    <w:pPr>
      <w:shd w:val="clear" w:color="auto" w:fill="FFFFFF"/>
      <w:spacing w:before="180" w:line="0" w:lineRule="atLeast"/>
    </w:pPr>
    <w:rPr>
      <w:rFonts w:ascii="Tahoma" w:eastAsia="Tahoma" w:hAnsi="Tahoma" w:cs="Tahoma"/>
      <w:b/>
      <w:bCs/>
      <w:sz w:val="19"/>
      <w:szCs w:val="19"/>
    </w:rPr>
  </w:style>
  <w:style w:type="paragraph" w:customStyle="1" w:styleId="Gvdemetni50">
    <w:name w:val="Gövde metni (5)"/>
    <w:basedOn w:val="Normal"/>
    <w:link w:val="Gvdemetni5"/>
    <w:rsid w:val="00583A64"/>
    <w:pPr>
      <w:shd w:val="clear" w:color="auto" w:fill="FFFFFF"/>
      <w:spacing w:line="0" w:lineRule="atLeast"/>
    </w:pPr>
    <w:rPr>
      <w:rFonts w:ascii="Trebuchet MS" w:eastAsia="Trebuchet MS" w:hAnsi="Trebuchet MS" w:cs="Trebuchet MS"/>
      <w:i/>
      <w:iCs/>
      <w:sz w:val="19"/>
      <w:szCs w:val="19"/>
    </w:rPr>
  </w:style>
  <w:style w:type="paragraph" w:customStyle="1" w:styleId="Gvdemetni60">
    <w:name w:val="Gövde metni (6)"/>
    <w:basedOn w:val="Normal"/>
    <w:link w:val="Gvdemetni6"/>
    <w:rsid w:val="00583A64"/>
    <w:pPr>
      <w:shd w:val="clear" w:color="auto" w:fill="FFFFFF"/>
      <w:spacing w:line="173" w:lineRule="exact"/>
    </w:pPr>
    <w:rPr>
      <w:rFonts w:ascii="Trebuchet MS" w:eastAsia="Trebuchet MS" w:hAnsi="Trebuchet MS" w:cs="Trebuchet MS"/>
      <w:b/>
      <w:bCs/>
      <w:spacing w:val="18"/>
      <w:sz w:val="28"/>
      <w:szCs w:val="28"/>
    </w:rPr>
  </w:style>
  <w:style w:type="paragraph" w:customStyle="1" w:styleId="Gvdemetni70">
    <w:name w:val="Gövde metni (7)"/>
    <w:basedOn w:val="Normal"/>
    <w:link w:val="Gvdemetni7"/>
    <w:rsid w:val="00583A64"/>
    <w:pPr>
      <w:shd w:val="clear" w:color="auto" w:fill="FFFFFF"/>
      <w:spacing w:line="173" w:lineRule="exact"/>
    </w:pPr>
    <w:rPr>
      <w:rFonts w:ascii="Arial Narrow" w:eastAsia="Arial Narrow" w:hAnsi="Arial Narrow" w:cs="Arial Narrow"/>
      <w:b/>
      <w:bCs/>
      <w:sz w:val="22"/>
      <w:szCs w:val="22"/>
    </w:rPr>
  </w:style>
  <w:style w:type="paragraph" w:customStyle="1" w:styleId="Gvdemetni80">
    <w:name w:val="Gövde metni (8)"/>
    <w:basedOn w:val="Normal"/>
    <w:link w:val="Gvdemetni8"/>
    <w:rsid w:val="00583A64"/>
    <w:pPr>
      <w:shd w:val="clear" w:color="auto" w:fill="FFFFFF"/>
      <w:spacing w:line="173" w:lineRule="exact"/>
    </w:pPr>
    <w:rPr>
      <w:rFonts w:ascii="Trebuchet MS" w:eastAsia="Trebuchet MS" w:hAnsi="Trebuchet MS" w:cs="Trebuchet MS"/>
      <w:spacing w:val="17"/>
      <w:sz w:val="13"/>
      <w:szCs w:val="13"/>
    </w:rPr>
  </w:style>
  <w:style w:type="paragraph" w:customStyle="1" w:styleId="Balk10">
    <w:name w:val="Başlık #1"/>
    <w:basedOn w:val="Normal"/>
    <w:link w:val="Balk1"/>
    <w:rsid w:val="00583A64"/>
    <w:pPr>
      <w:shd w:val="clear" w:color="auto" w:fill="FFFFFF"/>
      <w:spacing w:after="120" w:line="278" w:lineRule="exact"/>
      <w:jc w:val="center"/>
      <w:outlineLvl w:val="0"/>
    </w:pPr>
    <w:rPr>
      <w:rFonts w:ascii="Tahoma" w:eastAsia="Tahoma" w:hAnsi="Tahoma" w:cs="Tahoma"/>
      <w:spacing w:val="-4"/>
      <w:sz w:val="16"/>
      <w:szCs w:val="16"/>
    </w:rPr>
  </w:style>
  <w:style w:type="paragraph" w:customStyle="1" w:styleId="Gvdemetni0">
    <w:name w:val="Gövde metni"/>
    <w:basedOn w:val="Normal"/>
    <w:link w:val="Gvdemetni"/>
    <w:rsid w:val="00583A64"/>
    <w:pPr>
      <w:shd w:val="clear" w:color="auto" w:fill="FFFFFF"/>
      <w:spacing w:before="120" w:line="197" w:lineRule="exact"/>
      <w:jc w:val="both"/>
    </w:pPr>
    <w:rPr>
      <w:rFonts w:ascii="Tahoma" w:eastAsia="Tahoma" w:hAnsi="Tahoma" w:cs="Tahoma"/>
      <w:spacing w:val="-5"/>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2012-11-10T09:56:00Z</dcterms:created>
  <dcterms:modified xsi:type="dcterms:W3CDTF">2012-11-10T09:57:00Z</dcterms:modified>
</cp:coreProperties>
</file>