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50" w:rsidRDefault="00505650">
      <w:pPr>
        <w:pStyle w:val="Gvdemetni30"/>
        <w:framePr w:w="3811" w:h="4242" w:hRule="exact" w:wrap="none" w:vAnchor="page" w:hAnchor="page" w:x="2018" w:y="792"/>
        <w:shd w:val="clear" w:color="auto" w:fill="auto"/>
        <w:ind w:left="100"/>
      </w:pPr>
    </w:p>
    <w:p w:rsidR="00294DD6" w:rsidRDefault="001D3FED">
      <w:pPr>
        <w:pStyle w:val="Gvdemetni30"/>
        <w:framePr w:w="3811" w:h="4242" w:hRule="exact" w:wrap="none" w:vAnchor="page" w:hAnchor="page" w:x="2018" w:y="792"/>
        <w:shd w:val="clear" w:color="auto" w:fill="auto"/>
        <w:ind w:left="100"/>
      </w:pPr>
      <w:r>
        <w:t xml:space="preserve">Dosya No: 2012/29 </w:t>
      </w:r>
      <w:proofErr w:type="spellStart"/>
      <w:r>
        <w:t>Tal</w:t>
      </w:r>
      <w:proofErr w:type="spellEnd"/>
      <w:r>
        <w:t>.</w:t>
      </w:r>
    </w:p>
    <w:p w:rsidR="00294DD6" w:rsidRDefault="001D3FED">
      <w:pPr>
        <w:pStyle w:val="Gvdemetni40"/>
        <w:framePr w:w="3811" w:h="4242" w:hRule="exact" w:wrap="none" w:vAnchor="page" w:hAnchor="page" w:x="2018" w:y="792"/>
        <w:shd w:val="clear" w:color="auto" w:fill="auto"/>
        <w:ind w:left="100"/>
      </w:pPr>
      <w:r>
        <w:rPr>
          <w:rStyle w:val="Gvdemetni465ptKaln"/>
        </w:rPr>
        <w:t xml:space="preserve">TAŞINMAZIN AÇIK ARTIRMA İLANI </w:t>
      </w:r>
      <w:r>
        <w:t xml:space="preserve">I- Taşınmazın Tapa </w:t>
      </w:r>
      <w:proofErr w:type="spellStart"/>
      <w:r>
        <w:t>Kaydı</w:t>
      </w:r>
      <w:r>
        <w:rPr>
          <w:vertAlign w:val="subscript"/>
        </w:rPr>
        <w:t>t</w:t>
      </w:r>
      <w:r>
        <w:t>Hali</w:t>
      </w:r>
      <w:proofErr w:type="spellEnd"/>
      <w:r>
        <w:t xml:space="preserve"> Hazır J&gt;</w:t>
      </w:r>
      <w:proofErr w:type="gramStart"/>
      <w:r>
        <w:t>Muma.</w:t>
      </w:r>
      <w:proofErr w:type="spellStart"/>
      <w:r>
        <w:t>İmatI</w:t>
      </w:r>
      <w:proofErr w:type="spellEnd"/>
      <w:proofErr w:type="gramEnd"/>
      <w:r>
        <w:t>&gt;u-</w:t>
      </w:r>
    </w:p>
    <w:p w:rsidR="00294DD6" w:rsidRDefault="001D3FED">
      <w:pPr>
        <w:pStyle w:val="Gvdemetni50"/>
        <w:framePr w:w="3811" w:h="4242" w:hRule="exact" w:wrap="none" w:vAnchor="page" w:hAnchor="page" w:x="2018" w:y="792"/>
        <w:shd w:val="clear" w:color="auto" w:fill="auto"/>
        <w:ind w:left="100"/>
      </w:pPr>
      <w:proofErr w:type="spellStart"/>
      <w:r>
        <w:rPr>
          <w:rStyle w:val="Gvdemetni51"/>
        </w:rPr>
        <w:t>nımıı</w:t>
      </w:r>
      <w:proofErr w:type="spellEnd"/>
      <w:r>
        <w:rPr>
          <w:rStyle w:val="Gvdemetni51"/>
        </w:rPr>
        <w:t>:</w:t>
      </w:r>
    </w:p>
    <w:p w:rsidR="00294DD6" w:rsidRDefault="001D3FED">
      <w:pPr>
        <w:pStyle w:val="Gvdemetni0"/>
        <w:framePr w:w="3811" w:h="4242" w:hRule="exact" w:wrap="none" w:vAnchor="page" w:hAnchor="page" w:x="2018" w:y="792"/>
        <w:shd w:val="clear" w:color="auto" w:fill="auto"/>
        <w:spacing w:line="192" w:lineRule="exact"/>
        <w:ind w:left="100" w:right="100"/>
      </w:pPr>
      <w:r>
        <w:t xml:space="preserve">Kahramanmaraş Merkez Yenişehir mah. 3721 ada 2 parsel 14 cilt 1351 sayfada kayıtlı iş yeri - depolu - asma katlı vasıflı taşınmaz. </w:t>
      </w:r>
      <w:r>
        <w:t xml:space="preserve">Yüzölçümü 693,95 m2 </w:t>
      </w:r>
      <w:proofErr w:type="spellStart"/>
      <w:r>
        <w:t>dir</w:t>
      </w:r>
      <w:proofErr w:type="spellEnd"/>
      <w:r>
        <w:t xml:space="preserve">. Tamamı Ali </w:t>
      </w:r>
      <w:proofErr w:type="spellStart"/>
      <w:r>
        <w:t>Balcıoğlu</w:t>
      </w:r>
      <w:proofErr w:type="spellEnd"/>
      <w:r>
        <w:t xml:space="preserve"> adına kayıtlı 56/540 arsa paylı, zemin kat, 1 </w:t>
      </w:r>
      <w:proofErr w:type="spellStart"/>
      <w:r>
        <w:t>nolu</w:t>
      </w:r>
      <w:proofErr w:type="spellEnd"/>
      <w:r>
        <w:t xml:space="preserve"> bağımsız bölüm (işyeri - depo - asma katlı) taşınmaz. K.Maraş Merkez Yenişehir (menderes) mah. Trabzon bulvarı ülkü apartmanı zemin katında bulunan iş yeridir.</w:t>
      </w:r>
      <w:r>
        <w:t xml:space="preserve"> Mevcut iş yeri bodrum kat ( depo) + zemin kat + asma katlı olmak üzere 3 katlıdır. Mevcut </w:t>
      </w:r>
      <w:proofErr w:type="gramStart"/>
      <w:r>
        <w:t>dükkan</w:t>
      </w:r>
      <w:proofErr w:type="gramEnd"/>
      <w:r>
        <w:t xml:space="preserve"> (iş yeri )'</w:t>
      </w:r>
      <w:proofErr w:type="spellStart"/>
      <w:r>
        <w:t>nin</w:t>
      </w:r>
      <w:proofErr w:type="spellEnd"/>
      <w:r>
        <w:t xml:space="preserve"> oturum alanı 125 m2, zemin kat 129 m2, asma kat 85 m2 toplam 339,00 m2 </w:t>
      </w:r>
      <w:proofErr w:type="spellStart"/>
      <w:r>
        <w:t>dir</w:t>
      </w:r>
      <w:proofErr w:type="spellEnd"/>
      <w:r>
        <w:t xml:space="preserve">. Mevcut </w:t>
      </w:r>
      <w:proofErr w:type="gramStart"/>
      <w:r>
        <w:t>dükkanın</w:t>
      </w:r>
      <w:proofErr w:type="gramEnd"/>
      <w:r>
        <w:t xml:space="preserve"> yer kaplaması seramik, duvarlar alçı sıva üzeri boy</w:t>
      </w:r>
      <w:r>
        <w:t>alıdır. Ön cephede alüminyum camlı doğrama mevcuttur. Yapı kullanma izni 1999 yılında alınmıştır. K.Maraş Belediyesi İmar ve Şehir</w:t>
      </w:r>
      <w:r>
        <w:softHyphen/>
        <w:t>cilik Müdürlüğünün yazısı dosyadadır.</w:t>
      </w:r>
    </w:p>
    <w:p w:rsidR="00294DD6" w:rsidRDefault="001D3FED">
      <w:pPr>
        <w:pStyle w:val="Gvdemetni30"/>
        <w:framePr w:w="3811" w:h="4242" w:hRule="exact" w:wrap="none" w:vAnchor="page" w:hAnchor="page" w:x="2018" w:y="792"/>
        <w:shd w:val="clear" w:color="auto" w:fill="auto"/>
        <w:tabs>
          <w:tab w:val="left" w:pos="1550"/>
        </w:tabs>
        <w:spacing w:line="192" w:lineRule="exact"/>
        <w:ind w:left="100" w:right="100"/>
      </w:pPr>
      <w:r>
        <w:t xml:space="preserve">Muhammen </w:t>
      </w:r>
      <w:proofErr w:type="gramStart"/>
      <w:r>
        <w:t>Bedeli :1</w:t>
      </w:r>
      <w:proofErr w:type="gramEnd"/>
      <w:r>
        <w:t>.017.000,00 TL Satış Saati</w:t>
      </w:r>
      <w:r>
        <w:tab/>
        <w:t>: 10:30 -10:40 Arası</w:t>
      </w:r>
    </w:p>
    <w:p w:rsidR="00294DD6" w:rsidRDefault="001D3FED">
      <w:pPr>
        <w:pStyle w:val="Gvdemetni40"/>
        <w:framePr w:w="3811" w:h="4242" w:hRule="exact" w:wrap="none" w:vAnchor="page" w:hAnchor="page" w:x="2018" w:y="792"/>
        <w:shd w:val="clear" w:color="auto" w:fill="auto"/>
        <w:tabs>
          <w:tab w:val="left" w:pos="1550"/>
        </w:tabs>
        <w:spacing w:line="192" w:lineRule="exact"/>
        <w:ind w:left="100"/>
        <w:jc w:val="left"/>
      </w:pPr>
      <w:r>
        <w:t>Satış Şartları</w:t>
      </w:r>
      <w:r>
        <w:tab/>
        <w:t>:</w:t>
      </w:r>
    </w:p>
    <w:p w:rsidR="00294DD6" w:rsidRDefault="001D3FED">
      <w:pPr>
        <w:pStyle w:val="Gvdemetni0"/>
        <w:framePr w:w="3888" w:h="1973" w:hRule="exact" w:wrap="none" w:vAnchor="page" w:hAnchor="page" w:x="2028" w:y="4976"/>
        <w:shd w:val="clear" w:color="auto" w:fill="auto"/>
        <w:spacing w:line="192" w:lineRule="exact"/>
        <w:ind w:left="100" w:right="180"/>
        <w:jc w:val="both"/>
      </w:pPr>
      <w:r>
        <w:t xml:space="preserve">1- </w:t>
      </w:r>
      <w:r>
        <w:t>Birinci açık artırma 07.12.2012 cuma günü yukarda belirtilen saatler arasında K.Maraş Adliyesi mezat salonu KAHRAMAN</w:t>
      </w:r>
      <w:r>
        <w:softHyphen/>
        <w:t xml:space="preserve">MARAŞ adresinde açık artırma suretiyle </w:t>
      </w:r>
      <w:proofErr w:type="gramStart"/>
      <w:r>
        <w:t>yapılacaktır.Bu</w:t>
      </w:r>
      <w:proofErr w:type="gramEnd"/>
      <w:r>
        <w:t xml:space="preserve"> artır</w:t>
      </w:r>
      <w:r>
        <w:softHyphen/>
        <w:t xml:space="preserve">mada tahmin edilen değerin %60'ını ve </w:t>
      </w:r>
      <w:proofErr w:type="spellStart"/>
      <w:r>
        <w:t>riiçhanlı</w:t>
      </w:r>
      <w:proofErr w:type="spellEnd"/>
      <w:r>
        <w:t xml:space="preserve"> alacaklılar varsa alacakları t</w:t>
      </w:r>
      <w:r>
        <w:t xml:space="preserve">oplamını ve satış ve paylaştırma giderlerini geçmek şartı ile ihale olunur. Böyle bir bedele alıcı çıkmazsa en çok artıranın taahhüdü saldı kalmak </w:t>
      </w:r>
      <w:proofErr w:type="spellStart"/>
      <w:r>
        <w:t>şartiyle</w:t>
      </w:r>
      <w:proofErr w:type="spellEnd"/>
      <w:r>
        <w:t xml:space="preserve"> 17.12.2012 pazartesi günü K.Maraş Adliyesi mezat salonu KAHRAMANMARAŞ adresinde yukarıda belirtilen </w:t>
      </w:r>
      <w:r>
        <w:t>saatler arasında ikinci artırmaya çıkarılacaktır. Bu artırmada da rüçhanlı alacaklıların alacakları</w:t>
      </w:r>
    </w:p>
    <w:p w:rsidR="00294DD6" w:rsidRDefault="001D3FED">
      <w:pPr>
        <w:pStyle w:val="Gvdemetni0"/>
        <w:framePr w:w="3946" w:h="6001" w:hRule="exact" w:wrap="none" w:vAnchor="page" w:hAnchor="page" w:x="6060" w:y="944"/>
        <w:shd w:val="clear" w:color="auto" w:fill="auto"/>
        <w:spacing w:line="192" w:lineRule="exact"/>
        <w:ind w:left="100" w:right="100"/>
      </w:pPr>
      <w:proofErr w:type="gramStart"/>
      <w:r>
        <w:t>toplamını</w:t>
      </w:r>
      <w:proofErr w:type="gramEnd"/>
      <w:r>
        <w:t>, satış ve paylaştırma giderlerini geçmesi ve artırma</w:t>
      </w:r>
      <w:r>
        <w:br/>
        <w:t>bedelinin malın tahmin edilen kıymetinin %40 '</w:t>
      </w:r>
      <w:proofErr w:type="spellStart"/>
      <w:r>
        <w:t>ını</w:t>
      </w:r>
      <w:proofErr w:type="spellEnd"/>
      <w:r>
        <w:t xml:space="preserve"> bulması</w:t>
      </w:r>
    </w:p>
    <w:p w:rsidR="00294DD6" w:rsidRDefault="001D3FED">
      <w:pPr>
        <w:pStyle w:val="Gvdemetni0"/>
        <w:framePr w:w="3946" w:h="6001" w:hRule="exact" w:wrap="none" w:vAnchor="page" w:hAnchor="page" w:x="6060" w:y="944"/>
        <w:shd w:val="clear" w:color="auto" w:fill="auto"/>
        <w:spacing w:line="192" w:lineRule="exact"/>
        <w:ind w:left="100" w:right="100"/>
      </w:pPr>
      <w:proofErr w:type="gramStart"/>
      <w:r>
        <w:t>lazımdır.Böyle</w:t>
      </w:r>
      <w:proofErr w:type="gramEnd"/>
      <w:r>
        <w:t xml:space="preserve"> bir bedelle alıcı çı</w:t>
      </w:r>
      <w:r>
        <w:t>kmazsa satış talebi düşecektir.</w:t>
      </w:r>
    </w:p>
    <w:p w:rsidR="00294DD6" w:rsidRDefault="001D3FED">
      <w:pPr>
        <w:pStyle w:val="Gvdemetni0"/>
        <w:framePr w:w="3946" w:h="6001" w:hRule="exact" w:wrap="none" w:vAnchor="page" w:hAnchor="page" w:x="6060" w:y="944"/>
        <w:numPr>
          <w:ilvl w:val="0"/>
          <w:numId w:val="1"/>
        </w:numPr>
        <w:shd w:val="clear" w:color="auto" w:fill="auto"/>
        <w:tabs>
          <w:tab w:val="left" w:pos="254"/>
        </w:tabs>
        <w:spacing w:line="192" w:lineRule="exact"/>
        <w:ind w:left="100" w:right="280"/>
        <w:jc w:val="both"/>
      </w:pPr>
      <w:r>
        <w:t>Artırmaya iştirak edeceklerin, tahmin edilen kıymetin %20'si</w:t>
      </w:r>
      <w:r>
        <w:br/>
        <w:t>nispetinde Türk Lirası peşin para veya bu miktar kadar milli bir</w:t>
      </w:r>
      <w:r>
        <w:br/>
        <w:t xml:space="preserve">bankanın teminat mektubunu vermeleri lazımdır. Satış peşin </w:t>
      </w:r>
      <w:r>
        <w:rPr>
          <w:vertAlign w:val="superscript"/>
        </w:rPr>
        <w:t>1</w:t>
      </w:r>
      <w:r>
        <w:br/>
        <w:t>para iledir. Alıcı istediğinde 10 gün</w:t>
      </w:r>
      <w:r>
        <w:t>ü geçmemek üzere mehil</w:t>
      </w:r>
      <w:r>
        <w:br/>
        <w:t>verilebilir. Tapu alım harcı, damga vergisi ile K.D.V. alıcıya ait-</w:t>
      </w:r>
      <w:r>
        <w:br/>
      </w:r>
      <w:proofErr w:type="gramStart"/>
      <w:r>
        <w:t>tir</w:t>
      </w:r>
      <w:proofErr w:type="gramEnd"/>
      <w:r>
        <w:t xml:space="preserve">. Birikmiş vergiler ve </w:t>
      </w:r>
      <w:proofErr w:type="gramStart"/>
      <w:r>
        <w:t>tellaliye</w:t>
      </w:r>
      <w:proofErr w:type="gramEnd"/>
      <w:r>
        <w:t xml:space="preserve"> ücreti satış bedelinden ödenir.</w:t>
      </w:r>
    </w:p>
    <w:p w:rsidR="00294DD6" w:rsidRDefault="001D3FED">
      <w:pPr>
        <w:pStyle w:val="Gvdemetni0"/>
        <w:framePr w:w="3946" w:h="6001" w:hRule="exact" w:wrap="none" w:vAnchor="page" w:hAnchor="page" w:x="6060" w:y="944"/>
        <w:numPr>
          <w:ilvl w:val="0"/>
          <w:numId w:val="1"/>
        </w:numPr>
        <w:shd w:val="clear" w:color="auto" w:fill="auto"/>
        <w:tabs>
          <w:tab w:val="left" w:pos="258"/>
        </w:tabs>
        <w:spacing w:line="192" w:lineRule="exact"/>
        <w:ind w:left="100" w:right="100"/>
      </w:pPr>
      <w:r>
        <w:t>İpotek sahibi alacaklılarla diğer ilgililerin (*) bu taşınmaz üz- ;</w:t>
      </w:r>
      <w:r>
        <w:br/>
        <w:t xml:space="preserve">erindeki haklarını hususiyle </w:t>
      </w:r>
      <w:r>
        <w:t>faiz ve masrafa dair olan iddialarını</w:t>
      </w:r>
      <w:r>
        <w:br/>
        <w:t>dayanağı belgeler ile on beş gün içinde dairemize bildirmeleri</w:t>
      </w:r>
      <w:r>
        <w:br/>
        <w:t>lazımdır. Aksi takdirde haklan tapu sicili ile sabit olmadıkça</w:t>
      </w:r>
      <w:r>
        <w:br/>
        <w:t>paylaştırmadan hariç bırakılacaktır.</w:t>
      </w:r>
    </w:p>
    <w:p w:rsidR="00294DD6" w:rsidRDefault="001D3FED">
      <w:pPr>
        <w:pStyle w:val="Gvdemetni0"/>
        <w:framePr w:w="3946" w:h="6001" w:hRule="exact" w:wrap="none" w:vAnchor="page" w:hAnchor="page" w:x="6060" w:y="944"/>
        <w:numPr>
          <w:ilvl w:val="0"/>
          <w:numId w:val="1"/>
        </w:numPr>
        <w:shd w:val="clear" w:color="auto" w:fill="auto"/>
        <w:tabs>
          <w:tab w:val="left" w:pos="263"/>
          <w:tab w:val="left" w:pos="3628"/>
        </w:tabs>
        <w:spacing w:line="192" w:lineRule="exact"/>
        <w:ind w:left="100" w:right="100"/>
      </w:pPr>
      <w:r>
        <w:t>Satış bedeli hemen veya verilen mühlet içinde ödenmezse</w:t>
      </w:r>
      <w:r>
        <w:t xml:space="preserve"> Ş</w:t>
      </w:r>
      <w:r>
        <w:br/>
        <w:t xml:space="preserve">İcra İflas Kanununun 133 üncü maddesi gereğince ihale fes- </w:t>
      </w:r>
      <w:r>
        <w:rPr>
          <w:rStyle w:val="GvdemetniCalibritalik0ptbolukbraklyor"/>
        </w:rPr>
        <w:t>I</w:t>
      </w:r>
      <w:r>
        <w:rPr>
          <w:rStyle w:val="GvdemetniCalibritalik0ptbolukbraklyor"/>
        </w:rPr>
        <w:br/>
      </w:r>
      <w:proofErr w:type="spellStart"/>
      <w:r>
        <w:t>hedilir</w:t>
      </w:r>
      <w:proofErr w:type="spellEnd"/>
      <w:r>
        <w:t xml:space="preserve">. İki ihale arasındaki farktan ve % 10 faizden alıcı ve </w:t>
      </w:r>
      <w:proofErr w:type="spellStart"/>
      <w:r>
        <w:t>ke</w:t>
      </w:r>
      <w:proofErr w:type="spellEnd"/>
      <w:r>
        <w:t>-</w:t>
      </w:r>
      <w:r>
        <w:br/>
        <w:t>filleri mesul tutulacak ve hiç bir hükme hacet kalmadan</w:t>
      </w:r>
      <w:r>
        <w:br/>
        <w:t>kendilerinden tahsil edilecektir.</w:t>
      </w:r>
      <w:r>
        <w:tab/>
        <w:t>, ;</w:t>
      </w:r>
    </w:p>
    <w:p w:rsidR="00294DD6" w:rsidRDefault="001D3FED">
      <w:pPr>
        <w:pStyle w:val="Gvdemetni0"/>
        <w:framePr w:w="3946" w:h="6001" w:hRule="exact" w:wrap="none" w:vAnchor="page" w:hAnchor="page" w:x="6060" w:y="944"/>
        <w:numPr>
          <w:ilvl w:val="0"/>
          <w:numId w:val="1"/>
        </w:numPr>
        <w:shd w:val="clear" w:color="auto" w:fill="auto"/>
        <w:tabs>
          <w:tab w:val="left" w:pos="263"/>
          <w:tab w:val="left" w:pos="3974"/>
        </w:tabs>
        <w:spacing w:line="192" w:lineRule="exact"/>
        <w:ind w:left="100" w:right="100"/>
        <w:jc w:val="both"/>
      </w:pPr>
      <w:r>
        <w:t>Şartname, ilan tarihinden itiba</w:t>
      </w:r>
      <w:r>
        <w:t>ren herkesin görebilmesi için j</w:t>
      </w:r>
      <w:r>
        <w:br/>
        <w:t>dairede açık olup gideri verildiği takdirde isteyen alıcıya bir f</w:t>
      </w:r>
      <w:r>
        <w:br/>
        <w:t>örneği gönderilebilir.</w:t>
      </w:r>
      <w:r>
        <w:tab/>
      </w:r>
      <w:proofErr w:type="gramStart"/>
      <w:r>
        <w:t>t</w:t>
      </w:r>
      <w:proofErr w:type="gramEnd"/>
    </w:p>
    <w:p w:rsidR="00294DD6" w:rsidRDefault="001D3FED">
      <w:pPr>
        <w:pStyle w:val="Gvdemetni0"/>
        <w:framePr w:w="3946" w:h="6001" w:hRule="exact" w:wrap="none" w:vAnchor="page" w:hAnchor="page" w:x="6060" w:y="944"/>
        <w:numPr>
          <w:ilvl w:val="0"/>
          <w:numId w:val="1"/>
        </w:numPr>
        <w:shd w:val="clear" w:color="auto" w:fill="auto"/>
        <w:tabs>
          <w:tab w:val="left" w:pos="268"/>
          <w:tab w:val="left" w:pos="3974"/>
        </w:tabs>
        <w:spacing w:line="192" w:lineRule="exact"/>
        <w:ind w:left="100" w:right="100"/>
        <w:jc w:val="both"/>
      </w:pPr>
      <w:r>
        <w:t>Satışa iştirak edenlerin şartnameyi görmüş ve münderecatım</w:t>
      </w:r>
      <w:r>
        <w:br/>
      </w:r>
      <w:proofErr w:type="spellStart"/>
      <w:r>
        <w:rPr>
          <w:rStyle w:val="GvdemetniCalibritalik0ptbolukbraklyor"/>
        </w:rPr>
        <w:t>kabal</w:t>
      </w:r>
      <w:proofErr w:type="spellEnd"/>
      <w:r>
        <w:t xml:space="preserve"> etmiş sayılacakları, başkaca bilgi almak isteyenlerin </w:t>
      </w:r>
      <w:proofErr w:type="gramStart"/>
      <w:r>
        <w:t>[</w:t>
      </w:r>
      <w:proofErr w:type="gramEnd"/>
      <w:r>
        <w:br/>
        <w:t>yukarıda yaz</w:t>
      </w:r>
      <w:r>
        <w:t>ılı dosya numarasıyla müdürlüğümüze başvurmaları |</w:t>
      </w:r>
      <w:r>
        <w:br/>
        <w:t>ilan olunur.</w:t>
      </w:r>
      <w:r>
        <w:tab/>
      </w:r>
      <w:proofErr w:type="gramStart"/>
      <w:r>
        <w:t>j</w:t>
      </w:r>
      <w:proofErr w:type="gramEnd"/>
      <w:r>
        <w:br/>
        <w:t>İş bu ilan tebligat yapılamayan ilgililere tebligat yerine kaim &gt;</w:t>
      </w:r>
      <w:r>
        <w:br/>
        <w:t>olmak üzere ilan olunur. :</w:t>
      </w:r>
    </w:p>
    <w:p w:rsidR="00294DD6" w:rsidRDefault="001D3FED">
      <w:pPr>
        <w:pStyle w:val="Gvdemetni0"/>
        <w:framePr w:w="3946" w:h="6001" w:hRule="exact" w:wrap="none" w:vAnchor="page" w:hAnchor="page" w:x="6060" w:y="944"/>
        <w:shd w:val="clear" w:color="auto" w:fill="auto"/>
        <w:tabs>
          <w:tab w:val="left" w:pos="268"/>
          <w:tab w:val="left" w:pos="3974"/>
        </w:tabs>
        <w:spacing w:line="192" w:lineRule="exact"/>
        <w:ind w:left="100" w:right="500"/>
        <w:jc w:val="both"/>
      </w:pPr>
      <w:r>
        <w:t>(*)</w:t>
      </w:r>
      <w:proofErr w:type="spellStart"/>
      <w:r>
        <w:t>İIgililer</w:t>
      </w:r>
      <w:proofErr w:type="spellEnd"/>
      <w:r>
        <w:t xml:space="preserve"> tabirine irtifak hakkı </w:t>
      </w:r>
      <w:proofErr w:type="spellStart"/>
      <w:r>
        <w:t>sahipleride</w:t>
      </w:r>
      <w:proofErr w:type="spellEnd"/>
      <w:r>
        <w:t xml:space="preserve"> </w:t>
      </w:r>
      <w:proofErr w:type="gramStart"/>
      <w:r>
        <w:t>dahildir</w:t>
      </w:r>
      <w:proofErr w:type="gramEnd"/>
      <w:r>
        <w:t>.</w:t>
      </w:r>
    </w:p>
    <w:p w:rsidR="00294DD6" w:rsidRDefault="001D3FED">
      <w:pPr>
        <w:pStyle w:val="Gvdemetni60"/>
        <w:framePr w:w="3946" w:h="6001" w:hRule="exact" w:wrap="none" w:vAnchor="page" w:hAnchor="page" w:x="6060" w:y="944"/>
        <w:shd w:val="clear" w:color="auto" w:fill="auto"/>
        <w:spacing w:line="140" w:lineRule="exact"/>
        <w:ind w:left="820"/>
      </w:pPr>
      <w:r>
        <w:t>(</w:t>
      </w:r>
      <w:proofErr w:type="spellStart"/>
      <w:r>
        <w:t>İİK</w:t>
      </w:r>
      <w:r>
        <w:rPr>
          <w:rStyle w:val="Gvdemetni61"/>
        </w:rPr>
        <w:t>m</w:t>
      </w:r>
      <w:proofErr w:type="spellEnd"/>
      <w:r>
        <w:rPr>
          <w:rStyle w:val="Gvdemetni61"/>
        </w:rPr>
        <w:t>.</w:t>
      </w:r>
      <w:r>
        <w:rPr>
          <w:rStyle w:val="Gvdemetni6Kaln0ptbolukbraklyor"/>
        </w:rPr>
        <w:t>126</w:t>
      </w:r>
      <w:r>
        <w:t>)</w:t>
      </w:r>
    </w:p>
    <w:p w:rsidR="00294DD6" w:rsidRDefault="001D3FED">
      <w:pPr>
        <w:pStyle w:val="Gvdemetni0"/>
        <w:framePr w:w="3946" w:h="6001" w:hRule="exact" w:wrap="none" w:vAnchor="page" w:hAnchor="page" w:x="6060" w:y="944"/>
        <w:shd w:val="clear" w:color="auto" w:fill="auto"/>
        <w:spacing w:line="130" w:lineRule="exact"/>
        <w:ind w:left="1700"/>
      </w:pPr>
      <w:r>
        <w:t>B</w:t>
      </w:r>
      <w:proofErr w:type="gramStart"/>
      <w:r>
        <w:t>.:</w:t>
      </w:r>
      <w:proofErr w:type="gramEnd"/>
      <w:r>
        <w:t xml:space="preserve"> 65223 </w:t>
      </w:r>
      <w:hyperlink r:id="rId7" w:history="1">
        <w:r>
          <w:rPr>
            <w:rStyle w:val="Kpr"/>
            <w:lang w:val="en-US"/>
          </w:rPr>
          <w:t>www.bik.gov.tr</w:t>
        </w:r>
      </w:hyperlink>
    </w:p>
    <w:p w:rsidR="00294DD6" w:rsidRDefault="00294DD6" w:rsidP="00505650">
      <w:pPr>
        <w:pStyle w:val="Balk1"/>
      </w:pPr>
    </w:p>
    <w:p w:rsidR="00505650" w:rsidRDefault="00505650" w:rsidP="00505650">
      <w:r>
        <w:t xml:space="preserve">                          </w:t>
      </w:r>
    </w:p>
    <w:p w:rsidR="00505650" w:rsidRPr="00505650" w:rsidRDefault="00505650" w:rsidP="00505650">
      <w:r>
        <w:t xml:space="preserve">                      TC. KAHRAMANMARAŞ 1.İCRA MÜDÜRLÜĞÜ</w:t>
      </w:r>
    </w:p>
    <w:sectPr w:rsidR="00505650" w:rsidRPr="00505650" w:rsidSect="00294DD6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ED" w:rsidRDefault="001D3FED" w:rsidP="00294DD6">
      <w:r>
        <w:separator/>
      </w:r>
    </w:p>
  </w:endnote>
  <w:endnote w:type="continuationSeparator" w:id="0">
    <w:p w:rsidR="001D3FED" w:rsidRDefault="001D3FED" w:rsidP="0029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ED" w:rsidRDefault="001D3FED"/>
  </w:footnote>
  <w:footnote w:type="continuationSeparator" w:id="0">
    <w:p w:rsidR="001D3FED" w:rsidRDefault="001D3F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DCA"/>
    <w:multiLevelType w:val="multilevel"/>
    <w:tmpl w:val="FE64C6B2"/>
    <w:lvl w:ilvl="0">
      <w:start w:val="2"/>
      <w:numFmt w:val="decimal"/>
      <w:lvlText w:val="%1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-8"/>
        <w:w w:val="100"/>
        <w:position w:val="0"/>
        <w:sz w:val="13"/>
        <w:szCs w:val="13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94DD6"/>
    <w:rsid w:val="001D3FED"/>
    <w:rsid w:val="00294DD6"/>
    <w:rsid w:val="0050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4DD6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505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294DD6"/>
    <w:rPr>
      <w:color w:val="000080"/>
      <w:u w:val="single"/>
    </w:rPr>
  </w:style>
  <w:style w:type="character" w:customStyle="1" w:styleId="Gvdemetni2">
    <w:name w:val="Gövde metni (2)_"/>
    <w:basedOn w:val="VarsaylanParagrafYazTipi"/>
    <w:link w:val="Gvdemetni20"/>
    <w:rsid w:val="0029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sid w:val="00294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Gvdemetni4">
    <w:name w:val="Gövde metni (4)_"/>
    <w:basedOn w:val="VarsaylanParagrafYazTipi"/>
    <w:link w:val="Gvdemetni40"/>
    <w:rsid w:val="0029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5"/>
      <w:szCs w:val="15"/>
      <w:u w:val="none"/>
    </w:rPr>
  </w:style>
  <w:style w:type="character" w:customStyle="1" w:styleId="Gvdemetni465ptKaln">
    <w:name w:val="Gövde metni (4) + 6;5 pt;Kalın"/>
    <w:basedOn w:val="Gvdemetni4"/>
    <w:rsid w:val="00294DD6"/>
    <w:rPr>
      <w:b/>
      <w:bCs/>
      <w:color w:val="000000"/>
      <w:w w:val="100"/>
      <w:position w:val="0"/>
      <w:sz w:val="13"/>
      <w:szCs w:val="13"/>
      <w:lang w:val="tr-TR"/>
    </w:rPr>
  </w:style>
  <w:style w:type="character" w:customStyle="1" w:styleId="Gvdemetni5">
    <w:name w:val="Gövde metni (5)_"/>
    <w:basedOn w:val="VarsaylanParagrafYazTipi"/>
    <w:link w:val="Gvdemetni50"/>
    <w:rsid w:val="00294DD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Gvdemetni51">
    <w:name w:val="Gövde metni (5)"/>
    <w:basedOn w:val="Gvdemetni5"/>
    <w:rsid w:val="00294DD6"/>
    <w:rPr>
      <w:color w:val="000000"/>
      <w:w w:val="100"/>
      <w:position w:val="0"/>
      <w:u w:val="single"/>
      <w:lang w:val="tr-TR"/>
    </w:rPr>
  </w:style>
  <w:style w:type="character" w:customStyle="1" w:styleId="Gvdemetni">
    <w:name w:val="Gövde metni_"/>
    <w:basedOn w:val="VarsaylanParagrafYazTipi"/>
    <w:link w:val="Gvdemetni0"/>
    <w:rsid w:val="0029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3"/>
      <w:szCs w:val="13"/>
      <w:u w:val="none"/>
    </w:rPr>
  </w:style>
  <w:style w:type="character" w:customStyle="1" w:styleId="GvdemetniKaln0ptbolukbraklyor">
    <w:name w:val="Gövde metni + Kalın;0 pt boşluk bırakılıyor"/>
    <w:basedOn w:val="Gvdemetni"/>
    <w:rsid w:val="00294DD6"/>
    <w:rPr>
      <w:b/>
      <w:bCs/>
      <w:color w:val="000000"/>
      <w:spacing w:val="-3"/>
      <w:w w:val="100"/>
      <w:position w:val="0"/>
      <w:lang w:val="tr-TR"/>
    </w:rPr>
  </w:style>
  <w:style w:type="character" w:customStyle="1" w:styleId="GvdemetniCalibritalik0ptbolukbraklyor">
    <w:name w:val="Gövde metni + Calibri;İtalik;0 pt boşluk bırakılıyor"/>
    <w:basedOn w:val="Gvdemetni"/>
    <w:rsid w:val="00294DD6"/>
    <w:rPr>
      <w:rFonts w:ascii="Calibri" w:eastAsia="Calibri" w:hAnsi="Calibri" w:cs="Calibri"/>
      <w:i/>
      <w:iCs/>
      <w:color w:val="000000"/>
      <w:spacing w:val="-8"/>
      <w:w w:val="100"/>
      <w:position w:val="0"/>
      <w:lang w:val="tr-TR"/>
    </w:rPr>
  </w:style>
  <w:style w:type="character" w:customStyle="1" w:styleId="Gvdemetni6">
    <w:name w:val="Gövde metni (6)_"/>
    <w:basedOn w:val="VarsaylanParagrafYazTipi"/>
    <w:link w:val="Gvdemetni60"/>
    <w:rsid w:val="00294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Gvdemetni61">
    <w:name w:val="Gövde metni (6)"/>
    <w:basedOn w:val="Gvdemetni6"/>
    <w:rsid w:val="00294DD6"/>
    <w:rPr>
      <w:color w:val="000000"/>
      <w:w w:val="100"/>
      <w:position w:val="0"/>
      <w:u w:val="single"/>
      <w:lang w:val="tr-TR"/>
    </w:rPr>
  </w:style>
  <w:style w:type="character" w:customStyle="1" w:styleId="Gvdemetni6Kaln0ptbolukbraklyor">
    <w:name w:val="Gövde metni (6) + Kalın;0 pt boşluk bırakılıyor"/>
    <w:basedOn w:val="Gvdemetni6"/>
    <w:rsid w:val="00294DD6"/>
    <w:rPr>
      <w:b/>
      <w:bCs/>
      <w:color w:val="000000"/>
      <w:spacing w:val="-4"/>
      <w:w w:val="100"/>
      <w:position w:val="0"/>
      <w:lang w:val="tr-TR"/>
    </w:rPr>
  </w:style>
  <w:style w:type="character" w:customStyle="1" w:styleId="Gvdemetni7">
    <w:name w:val="Gövde metni (7)_"/>
    <w:basedOn w:val="VarsaylanParagrafYazTipi"/>
    <w:link w:val="Gvdemetni70"/>
    <w:rsid w:val="00294DD6"/>
    <w:rPr>
      <w:rFonts w:ascii="Calibri" w:eastAsia="Calibri" w:hAnsi="Calibri" w:cs="Calibri"/>
      <w:b w:val="0"/>
      <w:bCs w:val="0"/>
      <w:i/>
      <w:iCs/>
      <w:smallCaps w:val="0"/>
      <w:strike w:val="0"/>
      <w:spacing w:val="-8"/>
      <w:sz w:val="13"/>
      <w:szCs w:val="13"/>
      <w:u w:val="none"/>
    </w:rPr>
  </w:style>
  <w:style w:type="character" w:customStyle="1" w:styleId="GvdemetniCalibri10pt0ptbolukbraklyor">
    <w:name w:val="Gövde metni + Calibri;10 pt;0 pt boşluk bırakılıyor"/>
    <w:basedOn w:val="Gvdemetni"/>
    <w:rsid w:val="00294DD6"/>
    <w:rPr>
      <w:rFonts w:ascii="Calibri" w:eastAsia="Calibri" w:hAnsi="Calibri" w:cs="Calibri"/>
      <w:color w:val="000000"/>
      <w:spacing w:val="0"/>
      <w:w w:val="100"/>
      <w:position w:val="0"/>
      <w:sz w:val="20"/>
      <w:szCs w:val="20"/>
    </w:rPr>
  </w:style>
  <w:style w:type="paragraph" w:customStyle="1" w:styleId="Gvdemetni20">
    <w:name w:val="Gövde metni (2)"/>
    <w:basedOn w:val="Normal"/>
    <w:link w:val="Gvdemetni2"/>
    <w:rsid w:val="00294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6"/>
      <w:sz w:val="22"/>
      <w:szCs w:val="22"/>
    </w:rPr>
  </w:style>
  <w:style w:type="paragraph" w:customStyle="1" w:styleId="Gvdemetni30">
    <w:name w:val="Gövde metni (3)"/>
    <w:basedOn w:val="Normal"/>
    <w:link w:val="Gvdemetni3"/>
    <w:rsid w:val="00294DD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spacing w:val="-3"/>
      <w:sz w:val="13"/>
      <w:szCs w:val="13"/>
    </w:rPr>
  </w:style>
  <w:style w:type="paragraph" w:customStyle="1" w:styleId="Gvdemetni40">
    <w:name w:val="Gövde metni (4)"/>
    <w:basedOn w:val="Normal"/>
    <w:link w:val="Gvdemetni4"/>
    <w:rsid w:val="00294DD6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pacing w:val="-3"/>
      <w:sz w:val="15"/>
      <w:szCs w:val="15"/>
    </w:rPr>
  </w:style>
  <w:style w:type="paragraph" w:customStyle="1" w:styleId="Gvdemetni50">
    <w:name w:val="Gövde metni (5)"/>
    <w:basedOn w:val="Normal"/>
    <w:link w:val="Gvdemetni5"/>
    <w:rsid w:val="00294DD6"/>
    <w:pPr>
      <w:shd w:val="clear" w:color="auto" w:fill="FFFFFF"/>
      <w:spacing w:line="192" w:lineRule="exact"/>
    </w:pPr>
    <w:rPr>
      <w:rFonts w:ascii="Bookman Old Style" w:eastAsia="Bookman Old Style" w:hAnsi="Bookman Old Style" w:cs="Bookman Old Style"/>
      <w:spacing w:val="8"/>
      <w:sz w:val="14"/>
      <w:szCs w:val="14"/>
    </w:rPr>
  </w:style>
  <w:style w:type="paragraph" w:customStyle="1" w:styleId="Gvdemetni0">
    <w:name w:val="Gövde metni"/>
    <w:basedOn w:val="Normal"/>
    <w:link w:val="Gvdemetni"/>
    <w:rsid w:val="00294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3"/>
      <w:szCs w:val="13"/>
    </w:rPr>
  </w:style>
  <w:style w:type="paragraph" w:customStyle="1" w:styleId="Gvdemetni60">
    <w:name w:val="Gövde metni (6)"/>
    <w:basedOn w:val="Normal"/>
    <w:link w:val="Gvdemetni6"/>
    <w:rsid w:val="00294D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customStyle="1" w:styleId="Gvdemetni70">
    <w:name w:val="Gövde metni (7)"/>
    <w:basedOn w:val="Normal"/>
    <w:link w:val="Gvdemetni7"/>
    <w:rsid w:val="00294DD6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8"/>
      <w:sz w:val="13"/>
      <w:szCs w:val="13"/>
    </w:rPr>
  </w:style>
  <w:style w:type="character" w:customStyle="1" w:styleId="Balk1Char">
    <w:name w:val="Başlık 1 Char"/>
    <w:basedOn w:val="VarsaylanParagrafYazTipi"/>
    <w:link w:val="Balk1"/>
    <w:uiPriority w:val="9"/>
    <w:rsid w:val="00505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tkemlak</dc:creator>
  <cp:lastModifiedBy>tkemlak</cp:lastModifiedBy>
  <cp:revision>1</cp:revision>
  <dcterms:created xsi:type="dcterms:W3CDTF">2012-10-24T06:54:00Z</dcterms:created>
  <dcterms:modified xsi:type="dcterms:W3CDTF">2012-10-24T06:56:00Z</dcterms:modified>
</cp:coreProperties>
</file>