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A1B" w:rsidRDefault="00BA3DF7">
      <w:pPr>
        <w:pStyle w:val="Balk10"/>
        <w:framePr w:w="8501" w:h="7705" w:hRule="exact" w:wrap="none" w:vAnchor="page" w:hAnchor="page" w:x="1600" w:y="125"/>
        <w:shd w:val="clear" w:color="auto" w:fill="auto"/>
        <w:spacing w:after="110"/>
        <w:ind w:left="110" w:right="1000"/>
      </w:pPr>
      <w:bookmarkStart w:id="0" w:name="bookmark0"/>
      <w:r>
        <w:t>T.C. BEYKOZ İCRA MÜDÜRLÜĞÜ</w:t>
      </w:r>
      <w:r>
        <w:br/>
        <w:t>TAŞINMAZIN AÇIK ARTIRMA İLÂNI</w:t>
      </w:r>
      <w:bookmarkEnd w:id="0"/>
    </w:p>
    <w:p w:rsidR="008C1A1B" w:rsidRDefault="00BA3DF7">
      <w:pPr>
        <w:pStyle w:val="Gvdemetni0"/>
        <w:framePr w:w="8501" w:h="7705" w:hRule="exact" w:wrap="none" w:vAnchor="page" w:hAnchor="page" w:x="1600" w:y="125"/>
        <w:shd w:val="clear" w:color="auto" w:fill="auto"/>
        <w:tabs>
          <w:tab w:val="left" w:pos="7448"/>
        </w:tabs>
        <w:spacing w:before="0"/>
        <w:ind w:left="200"/>
      </w:pPr>
      <w:r>
        <w:t>Dosya No : 2012 /2212 Talimat</w:t>
      </w:r>
      <w:r>
        <w:tab/>
        <w:t>Örnek No : 27*</w:t>
      </w:r>
    </w:p>
    <w:p w:rsidR="008C1A1B" w:rsidRDefault="00BA3DF7">
      <w:pPr>
        <w:pStyle w:val="Gvdemetni20"/>
        <w:framePr w:w="8501" w:h="7705" w:hRule="exact" w:wrap="none" w:vAnchor="page" w:hAnchor="page" w:x="1600" w:y="125"/>
        <w:shd w:val="clear" w:color="auto" w:fill="auto"/>
        <w:ind w:left="200" w:firstLine="720"/>
      </w:pPr>
      <w:r>
        <w:t>Satılmasına karar verilen taşınmazın cinsi, niteliği, kıymeti, adedi, önemli özellikleri:</w:t>
      </w:r>
    </w:p>
    <w:p w:rsidR="008C1A1B" w:rsidRDefault="00BA3DF7">
      <w:pPr>
        <w:pStyle w:val="Gvdemetni0"/>
        <w:framePr w:w="8501" w:h="7705" w:hRule="exact" w:wrap="none" w:vAnchor="page" w:hAnchor="page" w:x="1600" w:y="125"/>
        <w:shd w:val="clear" w:color="auto" w:fill="auto"/>
        <w:spacing w:before="0"/>
        <w:ind w:left="200" w:right="20" w:firstLine="720"/>
      </w:pPr>
      <w:r>
        <w:rPr>
          <w:rStyle w:val="GvdemetniKaln"/>
        </w:rPr>
        <w:t>Tapu Kaydı</w:t>
      </w:r>
      <w:r>
        <w:t xml:space="preserve">; İstanbul ili, Beykoz İlçesi, Çavuşbaşı Köyü. Saip </w:t>
      </w:r>
      <w:r>
        <w:t>Molla Çiftliği, 6 parsel sayılı 380/615750 arsa paylı B blok 225 nolu dubleks villa, (tapu kaydında Beykoz İ.IHM 2011 /620 E ve 2011 /633 E tedbiri mevcuttur)</w:t>
      </w:r>
    </w:p>
    <w:p w:rsidR="008C1A1B" w:rsidRDefault="00BA3DF7">
      <w:pPr>
        <w:pStyle w:val="Gvdemetni0"/>
        <w:framePr w:w="8501" w:h="7705" w:hRule="exact" w:wrap="none" w:vAnchor="page" w:hAnchor="page" w:x="1600" w:y="125"/>
        <w:shd w:val="clear" w:color="auto" w:fill="auto"/>
        <w:spacing w:before="0"/>
        <w:ind w:left="200" w:right="20" w:firstLine="720"/>
      </w:pPr>
      <w:r>
        <w:rPr>
          <w:rStyle w:val="GvdemetniKaln"/>
        </w:rPr>
        <w:t xml:space="preserve">imar Durumu </w:t>
      </w:r>
      <w:r>
        <w:t>: Beykoz Belediye Başkanlığı İmar ve Şehircilik Müd.nün yazılarında belirtildiği gibi</w:t>
      </w:r>
      <w:r>
        <w:t xml:space="preserve"> satış konusu yer İstanbul III numaralı kültür ve tabiat varlıklarını koruma kurulunun 15.11.1995 gün ve 7755 sayılı kararı ile tespit edilen doğal sit alanında kalmaktadır. 05.06.1996 gün 8284 sayılı karar eki 1/25000 ölçekli sit derecelendirme paftasında</w:t>
      </w:r>
      <w:r>
        <w:t xml:space="preserve"> II.derece doğal sit alanı olarak tanımlanmış alandadır. Orman Bakanlığından alınan 30.03.1987 gün 0698 sayılı öh izin 22.12.1987 gün ve 21 sayılı olur kesin izin doğrultusunda Büyükşehir Belediye Başkanlığı ile Orman Bakanlığınca onaylı 12.04.1988 tarihli</w:t>
      </w:r>
      <w:r>
        <w:t xml:space="preserve"> 1/1000 ölçekli vaziyet planı ve avan projelerine uygun olarak 117 adet A tipi villa, 835 adet B tipi villa, 500 adet C tipi villa ile diğer sosyal ve ticaret tesisleri için 21.04.1988 tarihinde yapı ruhsatı verilmiştir. B225 sayılı bağımsız bölüm olan vil</w:t>
      </w:r>
      <w:r>
        <w:t>laya 26.12.2012 tarihinde konut olarak yapı kullanma izni verilmiştir.</w:t>
      </w:r>
    </w:p>
    <w:p w:rsidR="008C1A1B" w:rsidRDefault="00BA3DF7">
      <w:pPr>
        <w:pStyle w:val="Gvdemetni0"/>
        <w:framePr w:w="8501" w:h="7705" w:hRule="exact" w:wrap="none" w:vAnchor="page" w:hAnchor="page" w:x="1600" w:y="125"/>
        <w:shd w:val="clear" w:color="auto" w:fill="auto"/>
        <w:spacing w:before="0"/>
        <w:ind w:left="200" w:right="20" w:firstLine="720"/>
      </w:pPr>
      <w:r>
        <w:rPr>
          <w:rStyle w:val="GvdemetniKaln"/>
        </w:rPr>
        <w:t>Evsafı</w:t>
      </w:r>
      <w:r>
        <w:t>: Satışa konu B225 nolu dubleks villa, 6 sayılı parsel içinde kurulu Acarkent sitesi içinde kalmaktadır. B225 nolu villa, bahçe katı zemin katı 1 normal kat ve çatı arası katından</w:t>
      </w:r>
      <w:r>
        <w:t xml:space="preserve"> teşekkül etmekte olup brüt alanı 495 m2'dir. Doğalga2 ısıt</w:t>
      </w:r>
      <w:r>
        <w:softHyphen/>
        <w:t>malı olan villanın bahçesinde yüzme havuzu bulunmakta olup bahçe düzenlemesi yapılmıştır. Lüks malzeme ve 1 .sınıf işçilikle yapılmış olan villa 15 yaşları civarındadır. Acarkent sitesi mahalle ko</w:t>
      </w:r>
      <w:r>
        <w:t>numuna gelmiş, etrafı duvarlarla çevrili, güvenlik sistemli, okul sosyal tesis ticari tesis vb bulunduğu mutena semtlerdendir. Fatih Sultan Mehmet Köprüsü, Boğaziçi köprüsü ve çevre yol</w:t>
      </w:r>
      <w:r>
        <w:softHyphen/>
        <w:t>una cephelidir. Ulaşım kolaydır.</w:t>
      </w:r>
    </w:p>
    <w:p w:rsidR="008C1A1B" w:rsidRDefault="00BA3DF7">
      <w:pPr>
        <w:pStyle w:val="Gvdemetni0"/>
        <w:framePr w:w="8501" w:h="7705" w:hRule="exact" w:wrap="none" w:vAnchor="page" w:hAnchor="page" w:x="1600" w:y="125"/>
        <w:shd w:val="clear" w:color="auto" w:fill="auto"/>
        <w:spacing w:before="0"/>
        <w:ind w:left="200" w:firstLine="720"/>
      </w:pPr>
      <w:r>
        <w:rPr>
          <w:rStyle w:val="GvdemetniKaln"/>
        </w:rPr>
        <w:t>Kıymeti</w:t>
      </w:r>
      <w:r>
        <w:t>: 1.500.000,00 TL</w:t>
      </w:r>
    </w:p>
    <w:p w:rsidR="008C1A1B" w:rsidRDefault="00BA3DF7">
      <w:pPr>
        <w:pStyle w:val="Gvdemetni20"/>
        <w:framePr w:w="8501" w:h="7705" w:hRule="exact" w:wrap="none" w:vAnchor="page" w:hAnchor="page" w:x="1600" w:y="125"/>
        <w:shd w:val="clear" w:color="auto" w:fill="auto"/>
        <w:ind w:left="200" w:firstLine="720"/>
      </w:pPr>
      <w:r>
        <w:t>Sâtış şartla</w:t>
      </w:r>
      <w:r>
        <w:t>rı:</w:t>
      </w:r>
    </w:p>
    <w:p w:rsidR="008C1A1B" w:rsidRDefault="00BA3DF7">
      <w:pPr>
        <w:pStyle w:val="Gvdemetni0"/>
        <w:framePr w:w="8501" w:h="7705" w:hRule="exact" w:wrap="none" w:vAnchor="page" w:hAnchor="page" w:x="1600" w:y="125"/>
        <w:shd w:val="clear" w:color="auto" w:fill="auto"/>
        <w:spacing w:before="0"/>
        <w:ind w:left="200" w:right="20" w:firstLine="720"/>
      </w:pPr>
      <w:r>
        <w:rPr>
          <w:rStyle w:val="GvdemetniKaln"/>
        </w:rPr>
        <w:t xml:space="preserve">Satış 10.12.2012 günü 14.30 ile 14.40 saatleri arasında, Beykoz İcra Müdürlüğünde </w:t>
      </w:r>
      <w:r>
        <w:t>açık artırma suretiyle yapıla</w:t>
      </w:r>
      <w:r>
        <w:softHyphen/>
        <w:t xml:space="preserve">caktır. Bu artırmalarda tahmin edilen değerin % 60'ını ve rüçhanlı alacaklılar varsa alacakları toplamını ve satış giderlerini geçmek şartı </w:t>
      </w:r>
      <w:r>
        <w:t>ile ihale olunur. Böyle bir bedelle alıcı çıkmazsa en çok artıranın taahhüdü saklı kalmak şartiyle 20.12.2012 günü aynı yer ve saatlerde ikinci artırmaya çıkarılacaklardır. Bu artırmada da muhammen bedelin %40'ı ile rüçhanlı alacaklıların alacağını ve satı</w:t>
      </w:r>
      <w:r>
        <w:t>ş giderlerini geçmesi şartıyla en çok artırana ihale olunur.</w:t>
      </w:r>
    </w:p>
    <w:p w:rsidR="008C1A1B" w:rsidRDefault="00BA3DF7">
      <w:pPr>
        <w:pStyle w:val="Gvdemetni0"/>
        <w:framePr w:w="8501" w:h="7705" w:hRule="exact" w:wrap="none" w:vAnchor="page" w:hAnchor="page" w:x="1600" w:y="125"/>
        <w:numPr>
          <w:ilvl w:val="0"/>
          <w:numId w:val="1"/>
        </w:numPr>
        <w:shd w:val="clear" w:color="auto" w:fill="auto"/>
        <w:tabs>
          <w:tab w:val="left" w:pos="1102"/>
        </w:tabs>
        <w:spacing w:before="0"/>
        <w:ind w:left="200" w:right="20" w:firstLine="720"/>
      </w:pPr>
      <w:r>
        <w:t>Artırmaya iştirak edeceklerin, tahmin edilen değerin % 20'si oranında pey akçesi veya bu miktar kadar banka tem</w:t>
      </w:r>
      <w:r>
        <w:softHyphen/>
        <w:t xml:space="preserve">inat mektubu vermeleri lâzımdır. Satış peşin para iledir, alıcı istediğinde (10) </w:t>
      </w:r>
      <w:r>
        <w:t>günü geçmemek üzere süre verilebilir. Damga ver</w:t>
      </w:r>
      <w:r>
        <w:softHyphen/>
        <w:t>gisi, tapu alım harcı ve masrafları ile KDV alıcıya aittir. Tapu satım harcı, tellaliye resmi ve birikmiş vergiler satış bedelinden ödenir. Tahliye ve teslim masrafları alıcıya aittir.</w:t>
      </w:r>
    </w:p>
    <w:p w:rsidR="008C1A1B" w:rsidRDefault="00BA3DF7">
      <w:pPr>
        <w:pStyle w:val="Gvdemetni0"/>
        <w:framePr w:w="8501" w:h="7705" w:hRule="exact" w:wrap="none" w:vAnchor="page" w:hAnchor="page" w:x="1600" w:y="125"/>
        <w:numPr>
          <w:ilvl w:val="0"/>
          <w:numId w:val="1"/>
        </w:numPr>
        <w:shd w:val="clear" w:color="auto" w:fill="auto"/>
        <w:tabs>
          <w:tab w:val="left" w:pos="1112"/>
        </w:tabs>
        <w:spacing w:before="0"/>
        <w:ind w:left="200" w:right="20" w:firstLine="720"/>
      </w:pPr>
      <w:r>
        <w:t>ipotek sahibi alacaklıl</w:t>
      </w:r>
      <w:r>
        <w:t>arla diğer ilgilerin (*) bu gayrimenkul üzerindeki haklarını özellikle faiz ve giderlere dair olan iddialarını dayanağı belgeler ile (15) gün içinde dairemize bildirmeleri lazımdır; aksi takdirde hakları tapu sicil ile sabit ol</w:t>
      </w:r>
      <w:r>
        <w:softHyphen/>
        <w:t>madıkça paylaşmadan hariç bı</w:t>
      </w:r>
      <w:r>
        <w:t>rakılacaktır. «,</w:t>
      </w:r>
    </w:p>
    <w:p w:rsidR="008C1A1B" w:rsidRDefault="00BA3DF7">
      <w:pPr>
        <w:pStyle w:val="Gvdemetni0"/>
        <w:framePr w:w="8501" w:h="7705" w:hRule="exact" w:wrap="none" w:vAnchor="page" w:hAnchor="page" w:x="1600" w:y="125"/>
        <w:numPr>
          <w:ilvl w:val="0"/>
          <w:numId w:val="1"/>
        </w:numPr>
        <w:shd w:val="clear" w:color="auto" w:fill="auto"/>
        <w:tabs>
          <w:tab w:val="left" w:pos="1102"/>
        </w:tabs>
        <w:spacing w:before="0"/>
        <w:ind w:left="200" w:right="20" w:firstLine="720"/>
      </w:pPr>
      <w:r>
        <w:t>Satış bedeli hemen veya verilen mühlet içinde ödenmezse İcra ve İflas Kanununun 133 üncü maddesi gereğince ihale feshedilir. İki ihale arasındaki farktan ve %10 faizden alıcı ve kefilleri mesul tutulacak ve hiçbir hükme hacet kalmadan kend</w:t>
      </w:r>
      <w:r>
        <w:t>ilerinden tahsil edilecektir.</w:t>
      </w:r>
    </w:p>
    <w:p w:rsidR="008C1A1B" w:rsidRDefault="00BA3DF7">
      <w:pPr>
        <w:pStyle w:val="Gvdemetni0"/>
        <w:framePr w:w="8501" w:h="7705" w:hRule="exact" w:wrap="none" w:vAnchor="page" w:hAnchor="page" w:x="1600" w:y="125"/>
        <w:numPr>
          <w:ilvl w:val="0"/>
          <w:numId w:val="1"/>
        </w:numPr>
        <w:shd w:val="clear" w:color="auto" w:fill="auto"/>
        <w:tabs>
          <w:tab w:val="left" w:pos="1126"/>
        </w:tabs>
        <w:spacing w:before="0"/>
        <w:ind w:left="200" w:right="20" w:firstLine="720"/>
      </w:pPr>
      <w:r>
        <w:t>Şartname, ilân tarihinden itibaren herkesin görebilmesi için dairede açık olup gideri verildiği takdirde isteyen alıcıya bir örneği gönderilebilir.</w:t>
      </w:r>
    </w:p>
    <w:p w:rsidR="008C1A1B" w:rsidRDefault="00BA3DF7">
      <w:pPr>
        <w:pStyle w:val="Gvdemetni0"/>
        <w:framePr w:w="8501" w:h="7705" w:hRule="exact" w:wrap="none" w:vAnchor="page" w:hAnchor="page" w:x="1600" w:y="125"/>
        <w:numPr>
          <w:ilvl w:val="0"/>
          <w:numId w:val="1"/>
        </w:numPr>
        <w:shd w:val="clear" w:color="auto" w:fill="auto"/>
        <w:tabs>
          <w:tab w:val="left" w:pos="1107"/>
        </w:tabs>
        <w:spacing w:before="0"/>
        <w:ind w:left="200" w:right="20" w:firstLine="720"/>
      </w:pPr>
      <w:r>
        <w:t>Satışı iştirak edenlerin şartnameyi görmüş ve münderecatını kabul etmiş sayıla</w:t>
      </w:r>
      <w:r>
        <w:t>cakları, başkaca bilgi almak isteyen</w:t>
      </w:r>
      <w:r>
        <w:softHyphen/>
        <w:t>lerin yukarıda numarası yazılı dosya numarasıyla müdürlüğümüze başvurmaları, tebliğ edilemeyen alakadarlara bu ilanın tebliğ yerine geçeceği ilân olunur.</w:t>
      </w:r>
    </w:p>
    <w:p w:rsidR="008C1A1B" w:rsidRDefault="00BA3DF7">
      <w:pPr>
        <w:pStyle w:val="Gvdemetni0"/>
        <w:framePr w:w="8501" w:h="7705" w:hRule="exact" w:wrap="none" w:vAnchor="page" w:hAnchor="page" w:x="1600" w:y="125"/>
        <w:shd w:val="clear" w:color="auto" w:fill="auto"/>
        <w:spacing w:before="0"/>
        <w:ind w:left="200"/>
      </w:pPr>
      <w:r>
        <w:t>(IIK m.126) (*) İlgililer tabirine irtifak hakkı sahipleri de dah</w:t>
      </w:r>
      <w:r>
        <w:t>ildir.</w:t>
      </w:r>
    </w:p>
    <w:p w:rsidR="008C1A1B" w:rsidRDefault="00BA3DF7">
      <w:pPr>
        <w:pStyle w:val="Gvdemetni0"/>
        <w:framePr w:w="8501" w:h="7705" w:hRule="exact" w:wrap="none" w:vAnchor="page" w:hAnchor="page" w:x="1600" w:y="125"/>
        <w:shd w:val="clear" w:color="auto" w:fill="auto"/>
        <w:spacing w:before="0"/>
        <w:ind w:left="200" w:right="20"/>
      </w:pPr>
      <w:r>
        <w:t>NOT.-Satış ilanı ilgililere tebliğe gönderilmiş olup adreste tebligat yapılamaması halinde adresi bilinmeyen içinde iş bu satış ilanının tebligat yerine kain olmak üzere ilanen tebliğ olunur.</w:t>
      </w:r>
    </w:p>
    <w:p w:rsidR="008C1A1B" w:rsidRDefault="00BA3DF7">
      <w:pPr>
        <w:pStyle w:val="Balk20"/>
        <w:framePr w:wrap="none" w:vAnchor="page" w:hAnchor="page" w:x="1600" w:y="7918"/>
        <w:shd w:val="clear" w:color="auto" w:fill="auto"/>
        <w:spacing w:before="0" w:line="200" w:lineRule="exact"/>
      </w:pPr>
      <w:bookmarkStart w:id="1" w:name="bookmark1"/>
      <w:r>
        <w:t>Resmi İlanlar www.ilan.gov.tr’de.</w:t>
      </w:r>
      <w:bookmarkEnd w:id="1"/>
    </w:p>
    <w:p w:rsidR="008C1A1B" w:rsidRDefault="00BA3DF7">
      <w:pPr>
        <w:pStyle w:val="Gvdemetni20"/>
        <w:framePr w:wrap="none" w:vAnchor="page" w:hAnchor="page" w:x="8195" w:y="7956"/>
        <w:shd w:val="clear" w:color="auto" w:fill="auto"/>
        <w:spacing w:line="150" w:lineRule="exact"/>
        <w:ind w:left="100"/>
        <w:jc w:val="left"/>
      </w:pPr>
      <w:r>
        <w:t>(Basm:68845-</w:t>
      </w:r>
      <w:hyperlink r:id="rId7" w:history="1">
        <w:r>
          <w:rPr>
            <w:rStyle w:val="Kpr"/>
          </w:rPr>
          <w:t>www.</w:t>
        </w:r>
        <w:r>
          <w:rPr>
            <w:rStyle w:val="Kpr"/>
            <w:lang w:val="en-US"/>
          </w:rPr>
          <w:t>bik.gov.tr</w:t>
        </w:r>
      </w:hyperlink>
      <w:r>
        <w:rPr>
          <w:lang w:val="en-US"/>
        </w:rPr>
        <w:t>)</w:t>
      </w:r>
    </w:p>
    <w:p w:rsidR="008C1A1B" w:rsidRDefault="008C1A1B">
      <w:pPr>
        <w:rPr>
          <w:sz w:val="2"/>
          <w:szCs w:val="2"/>
        </w:rPr>
      </w:pPr>
    </w:p>
    <w:sectPr w:rsidR="008C1A1B" w:rsidSect="008C1A1B">
      <w:pgSz w:w="11906" w:h="8391" w:orient="landscape"/>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DF7" w:rsidRDefault="00BA3DF7" w:rsidP="008C1A1B">
      <w:r>
        <w:separator/>
      </w:r>
    </w:p>
  </w:endnote>
  <w:endnote w:type="continuationSeparator" w:id="0">
    <w:p w:rsidR="00BA3DF7" w:rsidRDefault="00BA3DF7" w:rsidP="008C1A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DF7" w:rsidRDefault="00BA3DF7"/>
  </w:footnote>
  <w:footnote w:type="continuationSeparator" w:id="0">
    <w:p w:rsidR="00BA3DF7" w:rsidRDefault="00BA3DF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254EFD"/>
    <w:multiLevelType w:val="multilevel"/>
    <w:tmpl w:val="8F509704"/>
    <w:lvl w:ilvl="0">
      <w:start w:val="2"/>
      <w:numFmt w:val="decimal"/>
      <w:lvlText w:val="%1-"/>
      <w:lvlJc w:val="left"/>
      <w:rPr>
        <w:rFonts w:ascii="Calibri" w:eastAsia="Calibri" w:hAnsi="Calibri" w:cs="Calibri"/>
        <w:b/>
        <w:bCs/>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8C1A1B"/>
    <w:rsid w:val="00535BB4"/>
    <w:rsid w:val="008C1A1B"/>
    <w:rsid w:val="00BA3D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1A1B"/>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C1A1B"/>
    <w:rPr>
      <w:color w:val="000080"/>
      <w:u w:val="single"/>
    </w:rPr>
  </w:style>
  <w:style w:type="character" w:customStyle="1" w:styleId="Balk1">
    <w:name w:val="Başlık #1_"/>
    <w:basedOn w:val="VarsaylanParagrafYazTipi"/>
    <w:link w:val="Balk10"/>
    <w:rsid w:val="008C1A1B"/>
    <w:rPr>
      <w:rFonts w:ascii="Calibri" w:eastAsia="Calibri" w:hAnsi="Calibri" w:cs="Calibri"/>
      <w:b/>
      <w:bCs/>
      <w:i w:val="0"/>
      <w:iCs w:val="0"/>
      <w:smallCaps w:val="0"/>
      <w:strike w:val="0"/>
      <w:spacing w:val="-4"/>
      <w:sz w:val="23"/>
      <w:szCs w:val="23"/>
      <w:u w:val="none"/>
    </w:rPr>
  </w:style>
  <w:style w:type="character" w:customStyle="1" w:styleId="Gvdemetni">
    <w:name w:val="Gövde metni_"/>
    <w:basedOn w:val="VarsaylanParagrafYazTipi"/>
    <w:link w:val="Gvdemetni0"/>
    <w:rsid w:val="008C1A1B"/>
    <w:rPr>
      <w:rFonts w:ascii="Calibri" w:eastAsia="Calibri" w:hAnsi="Calibri" w:cs="Calibri"/>
      <w:b w:val="0"/>
      <w:bCs w:val="0"/>
      <w:i w:val="0"/>
      <w:iCs w:val="0"/>
      <w:smallCaps w:val="0"/>
      <w:strike w:val="0"/>
      <w:spacing w:val="-2"/>
      <w:sz w:val="15"/>
      <w:szCs w:val="15"/>
      <w:u w:val="none"/>
    </w:rPr>
  </w:style>
  <w:style w:type="character" w:customStyle="1" w:styleId="Gvdemetni2">
    <w:name w:val="Gövde metni (2)_"/>
    <w:basedOn w:val="VarsaylanParagrafYazTipi"/>
    <w:link w:val="Gvdemetni20"/>
    <w:rsid w:val="008C1A1B"/>
    <w:rPr>
      <w:rFonts w:ascii="Calibri" w:eastAsia="Calibri" w:hAnsi="Calibri" w:cs="Calibri"/>
      <w:b/>
      <w:bCs/>
      <w:i w:val="0"/>
      <w:iCs w:val="0"/>
      <w:smallCaps w:val="0"/>
      <w:strike w:val="0"/>
      <w:spacing w:val="-2"/>
      <w:sz w:val="15"/>
      <w:szCs w:val="15"/>
      <w:u w:val="none"/>
    </w:rPr>
  </w:style>
  <w:style w:type="character" w:customStyle="1" w:styleId="GvdemetniKaln">
    <w:name w:val="Gövde metni + Kalın"/>
    <w:basedOn w:val="Gvdemetni"/>
    <w:rsid w:val="008C1A1B"/>
    <w:rPr>
      <w:b/>
      <w:bCs/>
      <w:color w:val="000000"/>
      <w:w w:val="100"/>
      <w:position w:val="0"/>
      <w:lang w:val="tr-TR"/>
    </w:rPr>
  </w:style>
  <w:style w:type="character" w:customStyle="1" w:styleId="GvdemetniKaln0ptbolukbraklyor">
    <w:name w:val="Gövde metni + Kalın;0 pt boşluk bırakılıyor"/>
    <w:basedOn w:val="Gvdemetni"/>
    <w:rsid w:val="008C1A1B"/>
    <w:rPr>
      <w:b/>
      <w:bCs/>
      <w:color w:val="000000"/>
      <w:spacing w:val="0"/>
      <w:w w:val="100"/>
      <w:position w:val="0"/>
    </w:rPr>
  </w:style>
  <w:style w:type="character" w:customStyle="1" w:styleId="Gvdemetni4pt0ptbolukbraklyor">
    <w:name w:val="Gövde metni + 4 pt;0 pt boşluk bırakılıyor"/>
    <w:basedOn w:val="Gvdemetni"/>
    <w:rsid w:val="008C1A1B"/>
    <w:rPr>
      <w:color w:val="000000"/>
      <w:spacing w:val="0"/>
      <w:w w:val="100"/>
      <w:position w:val="0"/>
      <w:sz w:val="8"/>
      <w:szCs w:val="8"/>
    </w:rPr>
  </w:style>
  <w:style w:type="character" w:customStyle="1" w:styleId="Balk2">
    <w:name w:val="Başlık #2_"/>
    <w:basedOn w:val="VarsaylanParagrafYazTipi"/>
    <w:link w:val="Balk20"/>
    <w:rsid w:val="008C1A1B"/>
    <w:rPr>
      <w:rFonts w:ascii="Calibri" w:eastAsia="Calibri" w:hAnsi="Calibri" w:cs="Calibri"/>
      <w:b/>
      <w:bCs/>
      <w:i w:val="0"/>
      <w:iCs w:val="0"/>
      <w:smallCaps w:val="0"/>
      <w:strike w:val="0"/>
      <w:spacing w:val="-6"/>
      <w:sz w:val="20"/>
      <w:szCs w:val="20"/>
      <w:u w:val="none"/>
    </w:rPr>
  </w:style>
  <w:style w:type="paragraph" w:customStyle="1" w:styleId="Balk10">
    <w:name w:val="Başlık #1"/>
    <w:basedOn w:val="Normal"/>
    <w:link w:val="Balk1"/>
    <w:rsid w:val="008C1A1B"/>
    <w:pPr>
      <w:shd w:val="clear" w:color="auto" w:fill="FFFFFF"/>
      <w:spacing w:after="60" w:line="226" w:lineRule="exact"/>
      <w:outlineLvl w:val="0"/>
    </w:pPr>
    <w:rPr>
      <w:rFonts w:ascii="Calibri" w:eastAsia="Calibri" w:hAnsi="Calibri" w:cs="Calibri"/>
      <w:b/>
      <w:bCs/>
      <w:spacing w:val="-4"/>
      <w:sz w:val="23"/>
      <w:szCs w:val="23"/>
    </w:rPr>
  </w:style>
  <w:style w:type="paragraph" w:customStyle="1" w:styleId="Gvdemetni0">
    <w:name w:val="Gövde metni"/>
    <w:basedOn w:val="Normal"/>
    <w:link w:val="Gvdemetni"/>
    <w:rsid w:val="008C1A1B"/>
    <w:pPr>
      <w:shd w:val="clear" w:color="auto" w:fill="FFFFFF"/>
      <w:spacing w:before="60" w:line="163" w:lineRule="exact"/>
      <w:jc w:val="both"/>
    </w:pPr>
    <w:rPr>
      <w:rFonts w:ascii="Calibri" w:eastAsia="Calibri" w:hAnsi="Calibri" w:cs="Calibri"/>
      <w:spacing w:val="-2"/>
      <w:sz w:val="15"/>
      <w:szCs w:val="15"/>
    </w:rPr>
  </w:style>
  <w:style w:type="paragraph" w:customStyle="1" w:styleId="Gvdemetni20">
    <w:name w:val="Gövde metni (2)"/>
    <w:basedOn w:val="Normal"/>
    <w:link w:val="Gvdemetni2"/>
    <w:rsid w:val="008C1A1B"/>
    <w:pPr>
      <w:shd w:val="clear" w:color="auto" w:fill="FFFFFF"/>
      <w:spacing w:line="163" w:lineRule="exact"/>
      <w:jc w:val="both"/>
    </w:pPr>
    <w:rPr>
      <w:rFonts w:ascii="Calibri" w:eastAsia="Calibri" w:hAnsi="Calibri" w:cs="Calibri"/>
      <w:b/>
      <w:bCs/>
      <w:spacing w:val="-2"/>
      <w:sz w:val="15"/>
      <w:szCs w:val="15"/>
    </w:rPr>
  </w:style>
  <w:style w:type="paragraph" w:customStyle="1" w:styleId="Balk20">
    <w:name w:val="Başlık #2"/>
    <w:basedOn w:val="Normal"/>
    <w:link w:val="Balk2"/>
    <w:rsid w:val="008C1A1B"/>
    <w:pPr>
      <w:shd w:val="clear" w:color="auto" w:fill="FFFFFF"/>
      <w:spacing w:before="120" w:line="0" w:lineRule="atLeast"/>
      <w:outlineLvl w:val="1"/>
    </w:pPr>
    <w:rPr>
      <w:rFonts w:ascii="Calibri" w:eastAsia="Calibri" w:hAnsi="Calibri" w:cs="Calibri"/>
      <w:b/>
      <w:bCs/>
      <w:spacing w:val="-6"/>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2012-11-08T08:05:00Z</dcterms:created>
  <dcterms:modified xsi:type="dcterms:W3CDTF">2012-11-08T08:05:00Z</dcterms:modified>
</cp:coreProperties>
</file>