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A9C" w:rsidRDefault="00932489">
      <w:pPr>
        <w:pStyle w:val="Balk10"/>
        <w:framePr w:w="5688" w:h="730" w:hRule="exact" w:wrap="none" w:vAnchor="page" w:hAnchor="page" w:x="3095" w:y="1529"/>
        <w:shd w:val="clear" w:color="auto" w:fill="000000"/>
        <w:ind w:right="20"/>
      </w:pPr>
      <w:bookmarkStart w:id="0" w:name="bookmark0"/>
      <w:r>
        <w:rPr>
          <w:rStyle w:val="Balk11"/>
          <w:b/>
          <w:bCs/>
        </w:rPr>
        <w:t>T.C. KIRKLARELİ İCRA DAİRESİ 2012/532 TLMT.</w:t>
      </w:r>
      <w:bookmarkEnd w:id="0"/>
    </w:p>
    <w:p w:rsidR="00C16A9C" w:rsidRDefault="00932489">
      <w:pPr>
        <w:pStyle w:val="Gvdemetni0"/>
        <w:framePr w:w="5688" w:h="470" w:hRule="exact" w:wrap="none" w:vAnchor="page" w:hAnchor="page" w:x="3095" w:y="2445"/>
        <w:shd w:val="clear" w:color="auto" w:fill="auto"/>
        <w:spacing w:line="120" w:lineRule="exact"/>
        <w:ind w:right="20"/>
      </w:pPr>
      <w:r>
        <w:t>TAŞINMAZIN AÇIK ARTIRMA İLANI</w:t>
      </w:r>
    </w:p>
    <w:p w:rsidR="00C16A9C" w:rsidRDefault="00932489">
      <w:pPr>
        <w:pStyle w:val="Gvdemetni0"/>
        <w:framePr w:w="5688" w:h="470" w:hRule="exact" w:wrap="none" w:vAnchor="page" w:hAnchor="page" w:x="3095" w:y="2445"/>
        <w:shd w:val="clear" w:color="auto" w:fill="auto"/>
        <w:spacing w:after="0" w:line="120" w:lineRule="exact"/>
        <w:ind w:left="40"/>
        <w:jc w:val="left"/>
      </w:pPr>
      <w:r>
        <w:t>Satılmasına karar verilen taşınmazın cinsi, niteliği, kıymeti, adedi, önemli özellikleri :</w:t>
      </w:r>
    </w:p>
    <w:tbl>
      <w:tblPr>
        <w:tblOverlap w:val="never"/>
        <w:tblW w:w="0" w:type="auto"/>
        <w:tblLayout w:type="fixed"/>
        <w:tblCellMar>
          <w:left w:w="10" w:type="dxa"/>
          <w:right w:w="10" w:type="dxa"/>
        </w:tblCellMar>
        <w:tblLook w:val="04A0"/>
      </w:tblPr>
      <w:tblGrid>
        <w:gridCol w:w="1330"/>
        <w:gridCol w:w="4349"/>
      </w:tblGrid>
      <w:tr w:rsidR="00C16A9C">
        <w:tblPrEx>
          <w:tblCellMar>
            <w:top w:w="0" w:type="dxa"/>
            <w:bottom w:w="0" w:type="dxa"/>
          </w:tblCellMar>
        </w:tblPrEx>
        <w:trPr>
          <w:trHeight w:hRule="exact" w:val="240"/>
        </w:trPr>
        <w:tc>
          <w:tcPr>
            <w:tcW w:w="5679" w:type="dxa"/>
            <w:gridSpan w:val="2"/>
            <w:tcBorders>
              <w:top w:val="single" w:sz="4" w:space="0" w:color="auto"/>
              <w:left w:val="single" w:sz="4" w:space="0" w:color="auto"/>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1 NO'LII TAŞINMAZIN</w:t>
            </w:r>
          </w:p>
        </w:tc>
      </w:tr>
      <w:tr w:rsidR="00C16A9C">
        <w:tblPrEx>
          <w:tblCellMar>
            <w:top w:w="0" w:type="dxa"/>
            <w:bottom w:w="0" w:type="dxa"/>
          </w:tblCellMar>
        </w:tblPrEx>
        <w:trPr>
          <w:trHeight w:hRule="exact" w:val="2582"/>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Özellikleri</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68" w:lineRule="exact"/>
              <w:jc w:val="both"/>
            </w:pPr>
            <w:r>
              <w:rPr>
                <w:rStyle w:val="Gvdemetni1"/>
              </w:rPr>
              <w:t xml:space="preserve">: Kırklareli ili Merkez Karahıdır Mah. Çelebıağa Mevkii </w:t>
            </w:r>
            <w:r>
              <w:rPr>
                <w:rStyle w:val="Gvdemetni1"/>
              </w:rPr>
              <w:t>Ada : 660, Parsel : 149 da tapuya kayıtlı Soğıık Hava Deposu ve Arsası niteliğindeki taşınmaz Tek katlı soğuk hava deposu ile iki katlı idare binasmdar oluşmaktadır. Soğuk Hava Deposu Tek katlı çelik Konstıüksiyonlu bu yapı olup soğuk hava deposunun brüt a</w:t>
            </w:r>
            <w:r>
              <w:rPr>
                <w:rStyle w:val="Gvdemetni1"/>
              </w:rPr>
              <w:t>lanı 603 m</w:t>
            </w:r>
            <w:r>
              <w:rPr>
                <w:rStyle w:val="Gvdemetni1"/>
                <w:vertAlign w:val="superscript"/>
              </w:rPr>
              <w:t>2</w:t>
            </w:r>
            <w:r>
              <w:rPr>
                <w:rStyle w:val="Gvdemetni1"/>
              </w:rPr>
              <w:t xml:space="preserve"> dir. Sol yan cephesinde bay ve bayan tuvaletler bulunmaktadır.İdare binası iki katlı betonarme karkas bir yapı olup Bodrum katta garaj olup zemin katta toplantı salonı mutfak nişi müdür odası sekreter ve arşiv bölümleri, normal birinci katta is</w:t>
            </w:r>
            <w:r>
              <w:rPr>
                <w:rStyle w:val="Gvdemetni1"/>
              </w:rPr>
              <w:t>e üç oda, hol, duş, wc ve balkon bölümlerinden oluşmaktadır bodrum kat dahil bürüt alan 462 m</w:t>
            </w:r>
            <w:r>
              <w:rPr>
                <w:rStyle w:val="Gvdemetni1"/>
                <w:vertAlign w:val="superscript"/>
              </w:rPr>
              <w:t>J</w:t>
            </w:r>
            <w:r>
              <w:rPr>
                <w:rStyle w:val="Gvdemetni1"/>
              </w:rPr>
              <w:t xml:space="preserve"> dir. Soğuk hava deposunda soğutma içir kurulmuş olup 4 adet Cantek Industrial marka ces-as2000 sz tipinde soğutma teçhizatı iç ve dış üniteler elektrik vs sistem</w:t>
            </w:r>
            <w:r>
              <w:rPr>
                <w:rStyle w:val="Gvdemetni1"/>
              </w:rPr>
              <w:t>ler mevcuttur Taşınmazın arsası üzerinde 600 adet kayısı ağacı bulunmakta ise dt bakımsızlık ve işçilik yapılmamasmdan dolayı 350 adedi canlı durumdadır.</w:t>
            </w:r>
          </w:p>
        </w:tc>
      </w:tr>
      <w:tr w:rsidR="00C16A9C">
        <w:tblPrEx>
          <w:tblCellMar>
            <w:top w:w="0" w:type="dxa"/>
            <w:bottom w:w="0" w:type="dxa"/>
          </w:tblCellMar>
        </w:tblPrEx>
        <w:trPr>
          <w:trHeight w:hRule="exact" w:val="211"/>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Adresi</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jc w:val="both"/>
            </w:pPr>
            <w:r>
              <w:rPr>
                <w:rStyle w:val="Gvdemetni1"/>
              </w:rPr>
              <w:t>: Karahıdır Mah. Edime yolu üzeri - KIRKLARELİ</w:t>
            </w:r>
          </w:p>
        </w:tc>
      </w:tr>
      <w:tr w:rsidR="00C16A9C">
        <w:tblPrEx>
          <w:tblCellMar>
            <w:top w:w="0" w:type="dxa"/>
            <w:bottom w:w="0" w:type="dxa"/>
          </w:tblCellMar>
        </w:tblPrEx>
        <w:trPr>
          <w:trHeight w:hRule="exact" w:val="240"/>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Yüzölçümü</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jc w:val="both"/>
            </w:pPr>
            <w:r>
              <w:rPr>
                <w:rStyle w:val="Gvdemetni1"/>
              </w:rPr>
              <w:t>: 18.865.80M</w:t>
            </w:r>
            <w:r>
              <w:rPr>
                <w:rStyle w:val="Gvdemetni1"/>
                <w:vertAlign w:val="superscript"/>
              </w:rPr>
              <w:t>1</w:t>
            </w:r>
          </w:p>
        </w:tc>
      </w:tr>
      <w:tr w:rsidR="00C16A9C">
        <w:tblPrEx>
          <w:tblCellMar>
            <w:top w:w="0" w:type="dxa"/>
            <w:bottom w:w="0" w:type="dxa"/>
          </w:tblCellMar>
        </w:tblPrEx>
        <w:trPr>
          <w:trHeight w:hRule="exact" w:val="216"/>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Arsa Payı</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jc w:val="both"/>
            </w:pPr>
            <w:r>
              <w:rPr>
                <w:rStyle w:val="Gvdemetni1"/>
              </w:rPr>
              <w:t>: TAM</w:t>
            </w:r>
          </w:p>
        </w:tc>
      </w:tr>
      <w:tr w:rsidR="00C16A9C">
        <w:tblPrEx>
          <w:tblCellMar>
            <w:top w:w="0" w:type="dxa"/>
            <w:bottom w:w="0" w:type="dxa"/>
          </w:tblCellMar>
        </w:tblPrEx>
        <w:trPr>
          <w:trHeight w:hRule="exact" w:val="739"/>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imar</w:t>
            </w:r>
            <w:r>
              <w:rPr>
                <w:rStyle w:val="Gvdemetni1"/>
              </w:rPr>
              <w:t xml:space="preserve"> Durumu</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68" w:lineRule="exact"/>
              <w:jc w:val="both"/>
            </w:pPr>
            <w:r>
              <w:rPr>
                <w:rStyle w:val="Gvdemetni1"/>
              </w:rPr>
              <w:t>: 04.07.2007 Tarihli 1/5000 ölçekli nazım imar planı,1/1000 ölçekli uygulama imar planında tanmsal amaçlı soğuk hava deposu olarak ayrılmış ohıp,E=0,10 Vve HMAX“Soğuk hava deposu teknolojisinin gerektirdiği yükseklikte olacaktır.</w:t>
            </w:r>
          </w:p>
        </w:tc>
      </w:tr>
      <w:tr w:rsidR="00C16A9C">
        <w:tblPrEx>
          <w:tblCellMar>
            <w:top w:w="0" w:type="dxa"/>
            <w:bottom w:w="0" w:type="dxa"/>
          </w:tblCellMar>
        </w:tblPrEx>
        <w:trPr>
          <w:trHeight w:hRule="exact" w:val="211"/>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Kıymeti</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jc w:val="both"/>
            </w:pPr>
            <w:r>
              <w:rPr>
                <w:rStyle w:val="Gvdemetni1"/>
              </w:rPr>
              <w:t xml:space="preserve">: </w:t>
            </w:r>
            <w:r>
              <w:rPr>
                <w:rStyle w:val="Gvdemetni1"/>
              </w:rPr>
              <w:t>1.018.261,00 TL</w:t>
            </w:r>
          </w:p>
        </w:tc>
      </w:tr>
      <w:tr w:rsidR="00C16A9C">
        <w:tblPrEx>
          <w:tblCellMar>
            <w:top w:w="0" w:type="dxa"/>
            <w:bottom w:w="0" w:type="dxa"/>
          </w:tblCellMar>
        </w:tblPrEx>
        <w:trPr>
          <w:trHeight w:hRule="exact" w:val="389"/>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KDV Oram</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73" w:lineRule="exact"/>
              <w:jc w:val="both"/>
            </w:pPr>
            <w:r>
              <w:rPr>
                <w:rStyle w:val="Gvdemetni1"/>
              </w:rPr>
              <w:t>: TAŞINMAZ KDV den istisna olup sadece 4 adet soğutma makinası ve teçhizatı için KDV ORANI %18 DİR.</w:t>
            </w:r>
          </w:p>
        </w:tc>
      </w:tr>
      <w:tr w:rsidR="00C16A9C">
        <w:tblPrEx>
          <w:tblCellMar>
            <w:top w:w="0" w:type="dxa"/>
            <w:bottom w:w="0" w:type="dxa"/>
          </w:tblCellMar>
        </w:tblPrEx>
        <w:trPr>
          <w:trHeight w:hRule="exact" w:val="389"/>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Kaydındaki Şerhler</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73" w:lineRule="exact"/>
              <w:jc w:val="both"/>
            </w:pPr>
            <w:r>
              <w:rPr>
                <w:rStyle w:val="Gvdemetni1"/>
              </w:rPr>
              <w:t xml:space="preserve">: TAŞINMAZ ÜZERİNDE 2,144,09 </w:t>
            </w:r>
            <w:r>
              <w:rPr>
                <w:rStyle w:val="Gvdemetnitalik0ptbolukbraklyor"/>
              </w:rPr>
              <w:t>nv</w:t>
            </w:r>
            <w:r>
              <w:rPr>
                <w:rStyle w:val="Gvdemetni1"/>
              </w:rPr>
              <w:t xml:space="preserve"> İlk KISMI ÖZERİNDE TEDAŞ LEHİNE HÜKMEN DAİMİ İRTİFAK HAKKI VARDIR.</w:t>
            </w:r>
          </w:p>
        </w:tc>
      </w:tr>
      <w:tr w:rsidR="00C16A9C">
        <w:tblPrEx>
          <w:tblCellMar>
            <w:top w:w="0" w:type="dxa"/>
            <w:bottom w:w="0" w:type="dxa"/>
          </w:tblCellMar>
        </w:tblPrEx>
        <w:trPr>
          <w:trHeight w:hRule="exact" w:val="221"/>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 xml:space="preserve">1. Satış </w:t>
            </w:r>
            <w:r>
              <w:rPr>
                <w:rStyle w:val="Gvdemetni1"/>
              </w:rPr>
              <w:t>Günü</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jc w:val="both"/>
            </w:pPr>
            <w:r>
              <w:rPr>
                <w:rStyle w:val="Gvdemetni1"/>
              </w:rPr>
              <w:t>: 21/03/2013 günü 11:00-lUOarası</w:t>
            </w:r>
          </w:p>
        </w:tc>
      </w:tr>
      <w:tr w:rsidR="00C16A9C">
        <w:tblPrEx>
          <w:tblCellMar>
            <w:top w:w="0" w:type="dxa"/>
            <w:bottom w:w="0" w:type="dxa"/>
          </w:tblCellMar>
        </w:tblPrEx>
        <w:trPr>
          <w:trHeight w:hRule="exact" w:val="216"/>
        </w:trPr>
        <w:tc>
          <w:tcPr>
            <w:tcW w:w="1330" w:type="dxa"/>
            <w:tcBorders>
              <w:lef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2. Satış Günü</w:t>
            </w:r>
          </w:p>
        </w:tc>
        <w:tc>
          <w:tcPr>
            <w:tcW w:w="4349" w:type="dxa"/>
            <w:tcBorders>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jc w:val="both"/>
            </w:pPr>
            <w:r>
              <w:rPr>
                <w:rStyle w:val="Gvdemetni1"/>
              </w:rPr>
              <w:t>; 15(04/2013 günü 11:00-11:10arası</w:t>
            </w:r>
          </w:p>
        </w:tc>
      </w:tr>
      <w:tr w:rsidR="00C16A9C">
        <w:tblPrEx>
          <w:tblCellMar>
            <w:top w:w="0" w:type="dxa"/>
            <w:bottom w:w="0" w:type="dxa"/>
          </w:tblCellMar>
        </w:tblPrEx>
        <w:trPr>
          <w:trHeight w:hRule="exact" w:val="235"/>
        </w:trPr>
        <w:tc>
          <w:tcPr>
            <w:tcW w:w="1330" w:type="dxa"/>
            <w:tcBorders>
              <w:left w:val="single" w:sz="4" w:space="0" w:color="auto"/>
              <w:bottom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ind w:left="60"/>
              <w:jc w:val="left"/>
            </w:pPr>
            <w:r>
              <w:rPr>
                <w:rStyle w:val="Gvdemetni1"/>
              </w:rPr>
              <w:t>Satış Veri</w:t>
            </w:r>
          </w:p>
        </w:tc>
        <w:tc>
          <w:tcPr>
            <w:tcW w:w="4349" w:type="dxa"/>
            <w:tcBorders>
              <w:bottom w:val="single" w:sz="4" w:space="0" w:color="auto"/>
              <w:right w:val="single" w:sz="4" w:space="0" w:color="auto"/>
            </w:tcBorders>
            <w:shd w:val="clear" w:color="auto" w:fill="FFFFFF"/>
          </w:tcPr>
          <w:p w:rsidR="00C16A9C" w:rsidRDefault="00932489">
            <w:pPr>
              <w:pStyle w:val="Gvdemetni0"/>
              <w:framePr w:w="5678" w:h="5890" w:wrap="none" w:vAnchor="page" w:hAnchor="page" w:x="3100" w:y="3084"/>
              <w:shd w:val="clear" w:color="auto" w:fill="auto"/>
              <w:spacing w:after="0" w:line="120" w:lineRule="exact"/>
              <w:jc w:val="both"/>
            </w:pPr>
            <w:r>
              <w:rPr>
                <w:rStyle w:val="Gvdemetni1"/>
              </w:rPr>
              <w:t>: Kırklareli Adliye Girişi Zemin Kat İcra Dairesi Önünde</w:t>
            </w:r>
          </w:p>
        </w:tc>
      </w:tr>
    </w:tbl>
    <w:p w:rsidR="00C16A9C" w:rsidRDefault="00932489">
      <w:pPr>
        <w:pStyle w:val="Gvdemetni0"/>
        <w:framePr w:w="5688" w:h="5414" w:hRule="exact" w:wrap="none" w:vAnchor="page" w:hAnchor="page" w:x="3095" w:y="9089"/>
        <w:shd w:val="clear" w:color="auto" w:fill="auto"/>
        <w:spacing w:after="0" w:line="120" w:lineRule="exact"/>
        <w:ind w:left="40" w:firstLine="480"/>
        <w:jc w:val="both"/>
      </w:pPr>
      <w:r>
        <w:t>Satış şartlan :</w:t>
      </w:r>
    </w:p>
    <w:p w:rsidR="00C16A9C" w:rsidRDefault="00932489">
      <w:pPr>
        <w:pStyle w:val="Gvdemetni0"/>
        <w:framePr w:w="5688" w:h="5414" w:hRule="exact" w:wrap="none" w:vAnchor="page" w:hAnchor="page" w:x="3095" w:y="9089"/>
        <w:numPr>
          <w:ilvl w:val="0"/>
          <w:numId w:val="1"/>
        </w:numPr>
        <w:shd w:val="clear" w:color="auto" w:fill="auto"/>
        <w:tabs>
          <w:tab w:val="left" w:pos="698"/>
        </w:tabs>
        <w:spacing w:after="0" w:line="173" w:lineRule="exact"/>
        <w:ind w:left="40" w:right="20" w:firstLine="480"/>
        <w:jc w:val="both"/>
      </w:pPr>
      <w:r>
        <w:t xml:space="preserve">İhale açık artırma suretiyle yapılacaktır. Birinci artırmanın yirmi gün </w:t>
      </w:r>
      <w:r>
        <w:t>öncesinden, artırma tarihinden önccki gün sonuna kadar elektronik ortamda teklif verilebilecektir. Bu artırmada tahmin edilen değerin %50 sini-ve rüçhanlı alacaklılar varsa alacakları toplamını ve satış giderlerini geçmek şartı ile ihale olunur. Birinci ar</w:t>
      </w:r>
      <w:r>
        <w:t>tırmada istekli bulunmadığı takdirde elektronik ortamda birinci artırmadan sonraki beşinci günden, ikinci artırma gününden önceki gün sonuna kadar elektronik ortamda teklif verilebilecektir. Bu artırmada da malın tahmin edilen değerin %50 sini, rüçhanlı al</w:t>
      </w:r>
      <w:r>
        <w:t>acaklılar varsa alacakları toplamını ve satış giderlerini geçmesi şartıyla en çok artırana ihale olunur. Böyle fazla bedelle alıcı çıkmazsa satış talebi düşecektir</w:t>
      </w:r>
    </w:p>
    <w:p w:rsidR="00C16A9C" w:rsidRDefault="00932489">
      <w:pPr>
        <w:pStyle w:val="Gvdemetni0"/>
        <w:framePr w:w="5688" w:h="5414" w:hRule="exact" w:wrap="none" w:vAnchor="page" w:hAnchor="page" w:x="3095" w:y="9089"/>
        <w:numPr>
          <w:ilvl w:val="0"/>
          <w:numId w:val="1"/>
        </w:numPr>
        <w:shd w:val="clear" w:color="auto" w:fill="auto"/>
        <w:tabs>
          <w:tab w:val="left" w:pos="683"/>
        </w:tabs>
        <w:spacing w:after="0" w:line="168" w:lineRule="exact"/>
        <w:ind w:left="40" w:right="20" w:firstLine="480"/>
        <w:jc w:val="both"/>
      </w:pPr>
      <w:r>
        <w:t xml:space="preserve">Artırmaya iştirak edeceklerin, tahmin edilen değerin % 20'si oranında pey akçesi veya bu </w:t>
      </w:r>
      <w:r>
        <w:t>miktar kadar banka teminat mektubu vermeleri lazımdır. Satış peşin para iledir, alıcı isteğinde (10) günü geçmemek üzere süre verilebilir. Damga vergisi, KDV, 1/2 tapu harcı ile teslim masrafları alıcıya aittir. Tellaliye resmi, taşınmazın aynından doğan v</w:t>
      </w:r>
      <w:r>
        <w:t>ergiler satış bedelinden ödenir.</w:t>
      </w:r>
    </w:p>
    <w:p w:rsidR="00C16A9C" w:rsidRDefault="00932489">
      <w:pPr>
        <w:pStyle w:val="Gvdemetni0"/>
        <w:framePr w:w="5688" w:h="5414" w:hRule="exact" w:wrap="none" w:vAnchor="page" w:hAnchor="page" w:x="3095" w:y="9089"/>
        <w:numPr>
          <w:ilvl w:val="0"/>
          <w:numId w:val="1"/>
        </w:numPr>
        <w:shd w:val="clear" w:color="auto" w:fill="auto"/>
        <w:tabs>
          <w:tab w:val="left" w:pos="717"/>
        </w:tabs>
        <w:spacing w:after="0" w:line="168" w:lineRule="exact"/>
        <w:ind w:left="40" w:right="20" w:firstLine="480"/>
        <w:jc w:val="both"/>
      </w:pPr>
      <w:r>
        <w:t>ipotek sahibi alacaklılarla diğer ilgilerin (*) bu gayrimenkul üzerindeki haklarım özellikle faiz ve giderlere dair olan iddialarını dayanağı belgeler ile (15) gün içinde dairemize bildirmeleri lazımdır; aksi takdirde hakla</w:t>
      </w:r>
      <w:r>
        <w:t>n tapu sicil ile sabit olmadıkça paylaşmadan hariç bırakılacaktır</w:t>
      </w:r>
    </w:p>
    <w:p w:rsidR="00C16A9C" w:rsidRDefault="00932489">
      <w:pPr>
        <w:pStyle w:val="Gvdemetni0"/>
        <w:framePr w:w="5688" w:h="5414" w:hRule="exact" w:wrap="none" w:vAnchor="page" w:hAnchor="page" w:x="3095" w:y="9089"/>
        <w:numPr>
          <w:ilvl w:val="0"/>
          <w:numId w:val="1"/>
        </w:numPr>
        <w:shd w:val="clear" w:color="auto" w:fill="auto"/>
        <w:tabs>
          <w:tab w:val="left" w:pos="688"/>
        </w:tabs>
        <w:spacing w:after="0" w:line="168" w:lineRule="exact"/>
        <w:ind w:left="40" w:right="20" w:firstLine="480"/>
        <w:jc w:val="both"/>
      </w:pPr>
      <w:r>
        <w:t>Satış bedeli hemen veya verilen mühlet içinde ödenmezse İcra ve İflas Kanununun 133 üncü maddesi gereğince ihale feshedilir. İhaleye katılıp daha sonra ihale bedelini yatırmamak sureti ile i</w:t>
      </w:r>
      <w:r>
        <w:t>halenin feshine sebep olan tüm alıcılar ve kefilleri teklif ettikleri bedel ile son ihale bedeli arasındaki farktan ve diğer zararlardan ve ayrıca temerrüt faizinden müteselsilen mesul olacaklardır, ihale farkı ve temerrüt faizi aynca hükme hacet kalmaksız</w:t>
      </w:r>
      <w:r>
        <w:t>ın dairemizce tahsil olunacak, bu fark, varsa öncelikle teminat bedelinden alınacaktır.</w:t>
      </w:r>
    </w:p>
    <w:p w:rsidR="00C16A9C" w:rsidRDefault="00932489">
      <w:pPr>
        <w:pStyle w:val="Gvdemetni0"/>
        <w:framePr w:w="5688" w:h="5414" w:hRule="exact" w:wrap="none" w:vAnchor="page" w:hAnchor="page" w:x="3095" w:y="9089"/>
        <w:numPr>
          <w:ilvl w:val="0"/>
          <w:numId w:val="1"/>
        </w:numPr>
        <w:shd w:val="clear" w:color="auto" w:fill="auto"/>
        <w:tabs>
          <w:tab w:val="left" w:pos="693"/>
        </w:tabs>
        <w:spacing w:after="0" w:line="168" w:lineRule="exact"/>
        <w:ind w:left="40" w:right="20" w:firstLine="480"/>
        <w:jc w:val="both"/>
      </w:pPr>
      <w:r>
        <w:t>Şartname, ilan tarihinden itibaren herkesin görebilmesi için dairede açık olup giden verildiği takdirde isteyen alıcıya bir örneği gönderilebilir.</w:t>
      </w:r>
    </w:p>
    <w:p w:rsidR="00C16A9C" w:rsidRDefault="00932489">
      <w:pPr>
        <w:pStyle w:val="Gvdemetni0"/>
        <w:framePr w:w="5688" w:h="5414" w:hRule="exact" w:wrap="none" w:vAnchor="page" w:hAnchor="page" w:x="3095" w:y="9089"/>
        <w:numPr>
          <w:ilvl w:val="0"/>
          <w:numId w:val="1"/>
        </w:numPr>
        <w:shd w:val="clear" w:color="auto" w:fill="auto"/>
        <w:tabs>
          <w:tab w:val="left" w:pos="688"/>
        </w:tabs>
        <w:spacing w:after="0" w:line="173" w:lineRule="exact"/>
        <w:ind w:left="40" w:right="20" w:firstLine="480"/>
        <w:jc w:val="both"/>
      </w:pPr>
      <w:r>
        <w:t xml:space="preserve">Satışı iştirak </w:t>
      </w:r>
      <w:r>
        <w:t>edenlerin şartnameyi görmüş ve münderecaünı kabul etmiş sayılacaklan, başkaca bilgi almak isteyenlerin 2012/532 Tlmt. sayılı dosya numarasıyla müdürlüğümüze başvurmalan ilan olımur.07/02/2013</w:t>
      </w:r>
    </w:p>
    <w:p w:rsidR="00C16A9C" w:rsidRDefault="00932489">
      <w:pPr>
        <w:pStyle w:val="Gvdemetni0"/>
        <w:framePr w:w="5688" w:h="5414" w:hRule="exact" w:wrap="none" w:vAnchor="page" w:hAnchor="page" w:x="3095" w:y="9089"/>
        <w:shd w:val="clear" w:color="auto" w:fill="auto"/>
        <w:tabs>
          <w:tab w:val="left" w:leader="underscore" w:pos="2133"/>
        </w:tabs>
        <w:spacing w:after="0" w:line="120" w:lineRule="exact"/>
        <w:ind w:left="40"/>
        <w:jc w:val="left"/>
      </w:pPr>
      <w:r>
        <w:rPr>
          <w:rStyle w:val="Gvdemetni2"/>
        </w:rPr>
        <w:t>ÜİK m. 1261</w:t>
      </w:r>
      <w:r>
        <w:tab/>
      </w:r>
    </w:p>
    <w:p w:rsidR="00C16A9C" w:rsidRDefault="00932489">
      <w:pPr>
        <w:pStyle w:val="Gvdemetni0"/>
        <w:framePr w:w="5688" w:h="1061" w:hRule="exact" w:wrap="none" w:vAnchor="page" w:hAnchor="page" w:x="3095" w:y="14459"/>
        <w:shd w:val="clear" w:color="auto" w:fill="auto"/>
        <w:spacing w:after="0" w:line="235" w:lineRule="exact"/>
        <w:ind w:left="40"/>
        <w:jc w:val="left"/>
      </w:pPr>
      <w:r>
        <w:t>(*) ilgililer tabirine irtifak hakkı sahipleri de d</w:t>
      </w:r>
      <w:r>
        <w:t>ahildir.</w:t>
      </w:r>
    </w:p>
    <w:p w:rsidR="00C16A9C" w:rsidRDefault="00932489">
      <w:pPr>
        <w:pStyle w:val="Gvdemetni0"/>
        <w:framePr w:w="5688" w:h="1061" w:hRule="exact" w:wrap="none" w:vAnchor="page" w:hAnchor="page" w:x="3095" w:y="14459"/>
        <w:shd w:val="clear" w:color="auto" w:fill="auto"/>
        <w:spacing w:after="0" w:line="235" w:lineRule="exact"/>
        <w:ind w:left="40"/>
        <w:jc w:val="left"/>
      </w:pPr>
      <w:r>
        <w:t>*: Bu ömek, bu Yönetmelikten önceki uygulamada kullanılan Örnek S4'e karşılık gelmekledir.</w:t>
      </w:r>
    </w:p>
    <w:p w:rsidR="00C16A9C" w:rsidRDefault="00932489">
      <w:pPr>
        <w:pStyle w:val="Balk20"/>
        <w:framePr w:w="5688" w:h="1061" w:hRule="exact" w:wrap="none" w:vAnchor="page" w:hAnchor="page" w:x="3095" w:y="14459"/>
        <w:shd w:val="clear" w:color="auto" w:fill="auto"/>
        <w:ind w:right="20"/>
      </w:pPr>
      <w:bookmarkStart w:id="1" w:name="bookmark1"/>
      <w:r>
        <w:t xml:space="preserve">(Basın No: 7806 </w:t>
      </w:r>
      <w:hyperlink r:id="rId7" w:history="1">
        <w:r>
          <w:rPr>
            <w:rStyle w:val="Kpr"/>
            <w:lang w:val="en-US"/>
          </w:rPr>
          <w:t>www.bik.gov.tr</w:t>
        </w:r>
      </w:hyperlink>
      <w:r>
        <w:t>)</w:t>
      </w:r>
      <w:bookmarkEnd w:id="1"/>
    </w:p>
    <w:p w:rsidR="00C16A9C" w:rsidRDefault="00932489">
      <w:pPr>
        <w:pStyle w:val="Gvdemetni21"/>
        <w:framePr w:w="5688" w:h="1061" w:hRule="exact" w:wrap="none" w:vAnchor="page" w:hAnchor="page" w:x="3095" w:y="14459"/>
        <w:shd w:val="clear" w:color="auto" w:fill="auto"/>
        <w:spacing w:line="100" w:lineRule="exact"/>
        <w:ind w:right="20"/>
      </w:pPr>
      <w:r>
        <w:t>docm, ilanlar- unum, ilan nötr de</w:t>
      </w:r>
    </w:p>
    <w:p w:rsidR="00C16A9C" w:rsidRDefault="00C16A9C">
      <w:pPr>
        <w:rPr>
          <w:sz w:val="2"/>
          <w:szCs w:val="2"/>
        </w:rPr>
      </w:pPr>
    </w:p>
    <w:sectPr w:rsidR="00C16A9C" w:rsidSect="00C16A9C">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489" w:rsidRDefault="00932489" w:rsidP="00C16A9C">
      <w:r>
        <w:separator/>
      </w:r>
    </w:p>
  </w:endnote>
  <w:endnote w:type="continuationSeparator" w:id="0">
    <w:p w:rsidR="00932489" w:rsidRDefault="00932489" w:rsidP="00C16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489" w:rsidRDefault="00932489"/>
  </w:footnote>
  <w:footnote w:type="continuationSeparator" w:id="0">
    <w:p w:rsidR="00932489" w:rsidRDefault="0093248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519FE"/>
    <w:multiLevelType w:val="multilevel"/>
    <w:tmpl w:val="8BB2C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C16A9C"/>
    <w:rsid w:val="00932489"/>
    <w:rsid w:val="00993733"/>
    <w:rsid w:val="00C16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6A9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16A9C"/>
    <w:rPr>
      <w:color w:val="000080"/>
      <w:u w:val="single"/>
    </w:rPr>
  </w:style>
  <w:style w:type="character" w:customStyle="1" w:styleId="Balk1">
    <w:name w:val="Başlık #1_"/>
    <w:basedOn w:val="VarsaylanParagrafYazTipi"/>
    <w:link w:val="Balk10"/>
    <w:rsid w:val="00C16A9C"/>
    <w:rPr>
      <w:rFonts w:ascii="Arial Narrow" w:eastAsia="Arial Narrow" w:hAnsi="Arial Narrow" w:cs="Arial Narrow"/>
      <w:b/>
      <w:bCs/>
      <w:i w:val="0"/>
      <w:iCs w:val="0"/>
      <w:smallCaps w:val="0"/>
      <w:strike w:val="0"/>
      <w:spacing w:val="3"/>
      <w:sz w:val="19"/>
      <w:szCs w:val="19"/>
      <w:u w:val="none"/>
    </w:rPr>
  </w:style>
  <w:style w:type="character" w:customStyle="1" w:styleId="Balk11">
    <w:name w:val="Başlık #1"/>
    <w:basedOn w:val="Balk1"/>
    <w:rsid w:val="00C16A9C"/>
    <w:rPr>
      <w:color w:val="FFFFFF"/>
      <w:w w:val="100"/>
      <w:position w:val="0"/>
      <w:lang w:val="tr-TR"/>
    </w:rPr>
  </w:style>
  <w:style w:type="character" w:customStyle="1" w:styleId="Gvdemetni">
    <w:name w:val="Gövde metni_"/>
    <w:basedOn w:val="VarsaylanParagrafYazTipi"/>
    <w:link w:val="Gvdemetni0"/>
    <w:rsid w:val="00C16A9C"/>
    <w:rPr>
      <w:rFonts w:ascii="Times New Roman" w:eastAsia="Times New Roman" w:hAnsi="Times New Roman" w:cs="Times New Roman"/>
      <w:b w:val="0"/>
      <w:bCs w:val="0"/>
      <w:i w:val="0"/>
      <w:iCs w:val="0"/>
      <w:smallCaps w:val="0"/>
      <w:strike w:val="0"/>
      <w:sz w:val="12"/>
      <w:szCs w:val="12"/>
      <w:u w:val="none"/>
    </w:rPr>
  </w:style>
  <w:style w:type="character" w:customStyle="1" w:styleId="Gvdemetni1">
    <w:name w:val="Gövde metni"/>
    <w:basedOn w:val="Gvdemetni"/>
    <w:rsid w:val="00C16A9C"/>
    <w:rPr>
      <w:color w:val="000000"/>
      <w:spacing w:val="0"/>
      <w:w w:val="100"/>
      <w:position w:val="0"/>
      <w:lang w:val="tr-TR"/>
    </w:rPr>
  </w:style>
  <w:style w:type="character" w:customStyle="1" w:styleId="Gvdemetnitalik0ptbolukbraklyor">
    <w:name w:val="Gövde metni + İtalik;0 pt boşluk bırakılıyor"/>
    <w:basedOn w:val="Gvdemetni"/>
    <w:rsid w:val="00C16A9C"/>
    <w:rPr>
      <w:i/>
      <w:iCs/>
      <w:color w:val="000000"/>
      <w:spacing w:val="-12"/>
      <w:w w:val="100"/>
      <w:position w:val="0"/>
      <w:lang w:val="tr-TR"/>
    </w:rPr>
  </w:style>
  <w:style w:type="character" w:customStyle="1" w:styleId="Gvdemetni2">
    <w:name w:val="Gövde metni"/>
    <w:basedOn w:val="Gvdemetni"/>
    <w:rsid w:val="00C16A9C"/>
    <w:rPr>
      <w:color w:val="000000"/>
      <w:spacing w:val="0"/>
      <w:w w:val="100"/>
      <w:position w:val="0"/>
      <w:u w:val="single"/>
      <w:lang w:val="tr-TR"/>
    </w:rPr>
  </w:style>
  <w:style w:type="character" w:customStyle="1" w:styleId="Balk2">
    <w:name w:val="Başlık #2_"/>
    <w:basedOn w:val="VarsaylanParagrafYazTipi"/>
    <w:link w:val="Balk20"/>
    <w:rsid w:val="00C16A9C"/>
    <w:rPr>
      <w:rFonts w:ascii="Arial Narrow" w:eastAsia="Arial Narrow" w:hAnsi="Arial Narrow" w:cs="Arial Narrow"/>
      <w:b/>
      <w:bCs/>
      <w:i w:val="0"/>
      <w:iCs w:val="0"/>
      <w:smallCaps w:val="0"/>
      <w:strike w:val="0"/>
      <w:spacing w:val="1"/>
      <w:sz w:val="15"/>
      <w:szCs w:val="15"/>
      <w:u w:val="none"/>
    </w:rPr>
  </w:style>
  <w:style w:type="character" w:customStyle="1" w:styleId="Gvdemetni20">
    <w:name w:val="Gövde metni (2)_"/>
    <w:basedOn w:val="VarsaylanParagrafYazTipi"/>
    <w:link w:val="Gvdemetni21"/>
    <w:rsid w:val="00C16A9C"/>
    <w:rPr>
      <w:rFonts w:ascii="Times New Roman" w:eastAsia="Times New Roman" w:hAnsi="Times New Roman" w:cs="Times New Roman"/>
      <w:b w:val="0"/>
      <w:bCs w:val="0"/>
      <w:i w:val="0"/>
      <w:iCs w:val="0"/>
      <w:smallCaps w:val="0"/>
      <w:strike w:val="0"/>
      <w:spacing w:val="6"/>
      <w:sz w:val="10"/>
      <w:szCs w:val="10"/>
      <w:u w:val="none"/>
    </w:rPr>
  </w:style>
  <w:style w:type="paragraph" w:customStyle="1" w:styleId="Balk10">
    <w:name w:val="Başlık #1"/>
    <w:basedOn w:val="Normal"/>
    <w:link w:val="Balk1"/>
    <w:rsid w:val="00C16A9C"/>
    <w:pPr>
      <w:shd w:val="clear" w:color="auto" w:fill="FFFFFF"/>
      <w:spacing w:line="341" w:lineRule="exact"/>
      <w:jc w:val="center"/>
      <w:outlineLvl w:val="0"/>
    </w:pPr>
    <w:rPr>
      <w:rFonts w:ascii="Arial Narrow" w:eastAsia="Arial Narrow" w:hAnsi="Arial Narrow" w:cs="Arial Narrow"/>
      <w:b/>
      <w:bCs/>
      <w:spacing w:val="3"/>
      <w:sz w:val="19"/>
      <w:szCs w:val="19"/>
    </w:rPr>
  </w:style>
  <w:style w:type="paragraph" w:customStyle="1" w:styleId="Gvdemetni0">
    <w:name w:val="Gövde metni"/>
    <w:basedOn w:val="Normal"/>
    <w:link w:val="Gvdemetni"/>
    <w:rsid w:val="00C16A9C"/>
    <w:pPr>
      <w:shd w:val="clear" w:color="auto" w:fill="FFFFFF"/>
      <w:spacing w:after="180" w:line="0" w:lineRule="atLeast"/>
      <w:jc w:val="center"/>
    </w:pPr>
    <w:rPr>
      <w:rFonts w:ascii="Times New Roman" w:eastAsia="Times New Roman" w:hAnsi="Times New Roman" w:cs="Times New Roman"/>
      <w:sz w:val="12"/>
      <w:szCs w:val="12"/>
    </w:rPr>
  </w:style>
  <w:style w:type="paragraph" w:customStyle="1" w:styleId="Balk20">
    <w:name w:val="Başlık #2"/>
    <w:basedOn w:val="Normal"/>
    <w:link w:val="Balk2"/>
    <w:rsid w:val="00C16A9C"/>
    <w:pPr>
      <w:shd w:val="clear" w:color="auto" w:fill="FFFFFF"/>
      <w:spacing w:line="235" w:lineRule="exact"/>
      <w:jc w:val="right"/>
      <w:outlineLvl w:val="1"/>
    </w:pPr>
    <w:rPr>
      <w:rFonts w:ascii="Arial Narrow" w:eastAsia="Arial Narrow" w:hAnsi="Arial Narrow" w:cs="Arial Narrow"/>
      <w:b/>
      <w:bCs/>
      <w:spacing w:val="1"/>
      <w:sz w:val="15"/>
      <w:szCs w:val="15"/>
    </w:rPr>
  </w:style>
  <w:style w:type="paragraph" w:customStyle="1" w:styleId="Gvdemetni21">
    <w:name w:val="Gövde metni (2)"/>
    <w:basedOn w:val="Normal"/>
    <w:link w:val="Gvdemetni20"/>
    <w:rsid w:val="00C16A9C"/>
    <w:pPr>
      <w:shd w:val="clear" w:color="auto" w:fill="FFFFFF"/>
      <w:spacing w:line="0" w:lineRule="atLeast"/>
      <w:jc w:val="center"/>
    </w:pPr>
    <w:rPr>
      <w:rFonts w:ascii="Times New Roman" w:eastAsia="Times New Roman" w:hAnsi="Times New Roman" w:cs="Times New Roman"/>
      <w:spacing w:val="6"/>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2013-02-13T07:58:00Z</dcterms:created>
  <dcterms:modified xsi:type="dcterms:W3CDTF">2013-02-13T07:58:00Z</dcterms:modified>
</cp:coreProperties>
</file>