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E6" w:rsidRDefault="00EA42C2">
      <w:pPr>
        <w:pStyle w:val="Balk10"/>
        <w:keepNext/>
        <w:keepLines/>
        <w:shd w:val="clear" w:color="auto" w:fill="auto"/>
        <w:spacing w:after="33" w:line="340" w:lineRule="exact"/>
      </w:pPr>
      <w:bookmarkStart w:id="0" w:name="bookmark0"/>
      <w:r>
        <w:t>ANTALYA 6. İCRA MÜDÜRLÜĞÜNDEN GAYRİMENKUL AÇIK ARTIRMA İLANI</w:t>
      </w:r>
      <w:bookmarkEnd w:id="0"/>
    </w:p>
    <w:p w:rsidR="00F562E6" w:rsidRDefault="00EA42C2">
      <w:pPr>
        <w:pStyle w:val="Balk20"/>
        <w:keepNext/>
        <w:keepLines/>
        <w:shd w:val="clear" w:color="auto" w:fill="auto"/>
        <w:spacing w:before="0" w:line="210" w:lineRule="exact"/>
        <w:ind w:left="4300"/>
        <w:sectPr w:rsidR="00F562E6">
          <w:type w:val="continuous"/>
          <w:pgSz w:w="16838" w:h="16834" w:orient="landscape"/>
          <w:pgMar w:top="4027" w:right="2861" w:bottom="4219" w:left="3341" w:header="0" w:footer="3" w:gutter="0"/>
          <w:cols w:space="720"/>
          <w:noEndnote/>
          <w:docGrid w:linePitch="360"/>
        </w:sectPr>
      </w:pPr>
      <w:bookmarkStart w:id="1" w:name="bookmark1"/>
      <w:r>
        <w:t>2009/5930 Talimat</w:t>
      </w:r>
      <w:bookmarkEnd w:id="1"/>
    </w:p>
    <w:p w:rsidR="00F562E6" w:rsidRDefault="00F562E6">
      <w:pPr>
        <w:spacing w:line="20" w:lineRule="exact"/>
        <w:rPr>
          <w:sz w:val="2"/>
          <w:szCs w:val="2"/>
        </w:rPr>
      </w:pPr>
    </w:p>
    <w:p w:rsidR="00F562E6" w:rsidRDefault="00F562E6">
      <w:pPr>
        <w:rPr>
          <w:sz w:val="2"/>
          <w:szCs w:val="2"/>
        </w:rPr>
        <w:sectPr w:rsidR="00F562E6">
          <w:type w:val="continuous"/>
          <w:pgSz w:w="16838" w:h="16834" w:orient="landscape"/>
          <w:pgMar w:top="0" w:right="0" w:bottom="0" w:left="0" w:header="0" w:footer="3" w:gutter="0"/>
          <w:cols w:space="720"/>
          <w:noEndnote/>
          <w:docGrid w:linePitch="360"/>
        </w:sectPr>
      </w:pPr>
    </w:p>
    <w:p w:rsidR="00F562E6" w:rsidRDefault="00F562E6">
      <w:pPr>
        <w:rPr>
          <w:sz w:val="2"/>
          <w:szCs w:val="2"/>
        </w:rPr>
      </w:pPr>
    </w:p>
    <w:p w:rsidR="00F562E6" w:rsidRDefault="00EA42C2">
      <w:pPr>
        <w:pStyle w:val="Gvdemetni0"/>
        <w:shd w:val="clear" w:color="auto" w:fill="auto"/>
        <w:ind w:left="20" w:right="20" w:firstLine="0"/>
      </w:pPr>
      <w:r>
        <w:t>Satılmasına karar verilen ve aşağıda bilgileri belirtilen taşınmazın tamamı açık artırma suretiyle satılacak olup gayrimenkullerin cinsi, kıymeti, adedi ve ayrıntılı özellikleri:</w:t>
      </w:r>
    </w:p>
    <w:p w:rsidR="00F562E6" w:rsidRDefault="00EA42C2">
      <w:pPr>
        <w:pStyle w:val="Gvdemetni0"/>
        <w:shd w:val="clear" w:color="auto" w:fill="auto"/>
        <w:ind w:left="20" w:right="20" w:firstLine="0"/>
      </w:pPr>
      <w:r>
        <w:rPr>
          <w:rStyle w:val="GvdemetniKaln"/>
        </w:rPr>
        <w:t xml:space="preserve">TAŞINMAZIN TAPU KAYDI: </w:t>
      </w:r>
      <w:r>
        <w:t xml:space="preserve">Satılmasına karar verilen gayrimenkul “Antalya ili, Konyaaltı ilçesi, Hurma Mah., 12129 ada, 6 parselde kayıtlı 3.940,00 m2 yüzölçümlü Arsa üzerinde 4/64 arsa paylı </w:t>
      </w:r>
      <w:r>
        <w:rPr>
          <w:rStyle w:val="GvdemetniKaln"/>
        </w:rPr>
        <w:t xml:space="preserve">E </w:t>
      </w:r>
      <w:r>
        <w:t xml:space="preserve">Blok Bodrum+Zemin+Çatı Arası 3 nolu Bağımsız Bölüm Mesken-Dubleks-Depolu vasıflı taşınmazın tamamı’’ </w:t>
      </w:r>
      <w:r>
        <w:rPr>
          <w:rStyle w:val="GvdemetniKaln"/>
        </w:rPr>
        <w:t xml:space="preserve">TAŞINMAZIN HALİ HAZIR DURUMU: </w:t>
      </w:r>
      <w:r>
        <w:t>Satılmasına karar verilen taşınmaz; Sarı su mahallesi 132.sokak no: 10 adresindeki pegasus konakları E blok Apartmanın olduğu yerdir. Antalya - Kemer karayolunun batısında iç kısmında kalmaktadır, bulunduğu yere belediye hizmetleri ve diğer alt yapı hizmetleri getirilmiştir. Ulaşımı kolaydır. Antalya merkez, Hurma Mahallesi, 12129 ada, 6 nolu parsel üzerinde, betonarme karkas yapı tarzında, bodrum kat+zemin kat+1.kat+çatı katlı olarak inşa edilmiş, kuzey-güney-batı cepheli depolu dubleks bir dairedir. Meskendir. (Bodrum kat+ zemin kat+l.kat+çatı katı dahil) brüt 223m2, net 185m2 alana sahiptir. (3 nolu bağımsız bölümün alanı keşifte bulunan fen bilirkişisi tarafından yerinde ölçüm yapılarak belirlendi.) Bağımsız bölümün bütün katlarında bağımsız bölümün içinden beton merdivenle inilip çıkılmaktadır. Merdivenin rıht ve basamakları mermer kaplıdır. Merdiven korkulukları alüminyum malzemeden yapılmıştır. Binanın dış cephesi andezit taşı kaplıdır. Binada kombi kalorifer sistemi vardır. Akıllı ev teknolojisi vardır.</w:t>
      </w:r>
    </w:p>
    <w:p w:rsidR="00F562E6" w:rsidRDefault="00EA42C2">
      <w:pPr>
        <w:pStyle w:val="Gvdemetni0"/>
        <w:shd w:val="clear" w:color="auto" w:fill="auto"/>
        <w:ind w:left="20" w:right="20" w:firstLine="0"/>
      </w:pPr>
      <w:r>
        <w:rPr>
          <w:rStyle w:val="GvdemetniKaln"/>
        </w:rPr>
        <w:t xml:space="preserve">BODRUM KATTA </w:t>
      </w:r>
      <w:r>
        <w:t>: Salon 1 oda sauna ve banyo + wc bölümleri vardır. Salon tabanı beton şap tavan ve duvarları saten boyalıdır. Odanın tabanı seramik kaplı tavan ve duvarları saten boyalıdır. İç kapılar (mobilya tipi) ahşap doğramadır. Islak zeminler seramik kaplıdır. Elektrik ve su tesisatlıdır. Ancak binada yalıtım zafiyeti bulunması nedeni ile şiddetli rutubetlenme ve koku vardır.</w:t>
      </w:r>
    </w:p>
    <w:p w:rsidR="00F562E6" w:rsidRDefault="00EA42C2">
      <w:pPr>
        <w:pStyle w:val="Gvdemetni0"/>
        <w:shd w:val="clear" w:color="auto" w:fill="auto"/>
        <w:ind w:left="20" w:right="20" w:firstLine="0"/>
      </w:pPr>
      <w:r>
        <w:rPr>
          <w:rStyle w:val="GvdemetniKaln"/>
        </w:rPr>
        <w:t>ZEMİN KATTA (GİRİŞ KATTA)</w:t>
      </w:r>
      <w:r>
        <w:t>: Salon + mutfak ve wc bölümleri vardır. Salon tabanı bambu parke kaplı duvarları saten tavanında spot ışıklandırma sistemi vardır. Mutfak tezgahı (ithal) granit mermer olup (ithal) mdf dolapları vardır, iç kapılar mobilya tipi ahşap doğramadır. Dış cephe doğramaları pvc doğramadır. Dış cephelerde elektrikli pvc panjur vardır. Islak zeminler seramik kaplıdır. Daire giriş kapısı çelik kapıdır. Elektrik ve su tesisatlıdır. Ancak binada yalıtım zafiyeti bulunması nedeni ile şiddetli rutubetlenme ve koku vardır.</w:t>
      </w:r>
    </w:p>
    <w:p w:rsidR="00F562E6" w:rsidRDefault="00EA42C2">
      <w:pPr>
        <w:pStyle w:val="Gvdemetni0"/>
        <w:numPr>
          <w:ilvl w:val="0"/>
          <w:numId w:val="1"/>
        </w:numPr>
        <w:shd w:val="clear" w:color="auto" w:fill="auto"/>
        <w:tabs>
          <w:tab w:val="left" w:pos="625"/>
        </w:tabs>
        <w:ind w:left="20" w:right="20" w:firstLine="0"/>
      </w:pPr>
      <w:r>
        <w:rPr>
          <w:rStyle w:val="GvdemetniKaln"/>
        </w:rPr>
        <w:t xml:space="preserve">KATTA </w:t>
      </w:r>
      <w:r>
        <w:t>3 oda hol banyo + wc bölümleri ile 2 balkonu vardır. Ebeveyn yatak odası içindeki banyoda jakuzi vardır. Oda tabanları laminant kaplı tavan ve duvarları saten boyalıdır. İç kapılar mobilya tipi ahşap doğramadır. Pencereler ve balkon kapıları pvc doğramadır. Pencerelerde ve balkonlarda elektrikli pvc panjur vardır. Islak zeminler seramik kaplıdır. Elektrik ve su tesisatlıdır. Ancak binada yalıtım zafiyeti bulunması nedeni ile şiddetli rutubetlenme ve koku vardır.</w:t>
      </w:r>
    </w:p>
    <w:p w:rsidR="00F562E6" w:rsidRDefault="00EA42C2">
      <w:pPr>
        <w:pStyle w:val="Gvdemetni0"/>
        <w:shd w:val="clear" w:color="auto" w:fill="auto"/>
        <w:ind w:left="20" w:right="20" w:firstLine="0"/>
      </w:pPr>
      <w:r>
        <w:rPr>
          <w:rStyle w:val="GvdemetniKaln"/>
        </w:rPr>
        <w:t>ÇATI KATTA</w:t>
      </w:r>
      <w:r>
        <w:t>: Hol 2 oda ve teras kısmı vardır. Oda tabanları laminant kaplı tavan ve duvarları saten boyalıdır. Hol tabanı mermer kaplı tavan ve duvarları saten boyalıdır, iç kapılar mobilya tipi ahşap doğramadır. Dış cephe doğramaları pvc doğramadır. Dış cephe pencerelerinde elektrikli pvc panjur vardır. Islak zeminler seramik kaplıdır. Elektrik ve su tesisatlıdır. Ancak binada yalıtım zafiyeti bulunması nedeni ile şiddetli rutubetlenme ve koku vardır. 3 nolu bağımsız bölümün bulunduğu sitede çevre düzenlemesi yapılmış olup yüzme havuzu oto parkı ve site hizmetlisi vardır. Taşınmazın dubleks şeklinde olması ve üretim esnasında kaliteli malzemeler kullanılmaya çalışması olumlu unsurlar olup bunun yanı sıra taşınmazı olumsuz kılabilecek bir çok unsur da bulunmaktadır. Taşınmaz Antalya merkeze ve alışveriş merkezlerine uzaktır. Hemen yakınında arıtma tesisi bulunmaktadır. Güneyinde serbest bölge müdürlüğü yer almakta olup sanayi çalışma alanına oldukça yakındır. Site içersinde merkezi bir sistem tasarlanmıştır. Yapıda şiddetli yalıtım zafiyeti bulunmaktadır. Tapuda 3.940,00 m2 lik arsada 4/64 arsa paylı kat irtifaklı (tapu kaydına göre E blokta bodrum + zemin + çatı arası) depolu dubleks mesken olarak tescillidir</w:t>
      </w:r>
    </w:p>
    <w:p w:rsidR="00F562E6" w:rsidRDefault="00EA42C2">
      <w:pPr>
        <w:pStyle w:val="Gvdemetni0"/>
        <w:shd w:val="clear" w:color="auto" w:fill="auto"/>
        <w:ind w:left="20" w:right="20" w:firstLine="0"/>
      </w:pPr>
      <w:r>
        <w:rPr>
          <w:rStyle w:val="GvdemetniKaln"/>
        </w:rPr>
        <w:t xml:space="preserve">TAŞINMAZIN İMAR DURUMU </w:t>
      </w:r>
      <w:r>
        <w:t>: Satışa konu meskenin içinde bulunduğu gayrimenkul; Antalya Konyaaltı Belediyesi İmar ve Şehircilik Müdürlüğünün 26.01.2010 Tarih ve 340/647 sayılı cevabi yazısında; Hurma Mahallesi, 12129 ada, 6 parsel, Ayrık nizam, 4 katlı, E=0.20/0.80 Yapılanma koşullu konut alanı olarak</w:t>
      </w:r>
    </w:p>
    <w:p w:rsidR="00F562E6" w:rsidRDefault="00EA42C2">
      <w:pPr>
        <w:pStyle w:val="Gvdemetni0"/>
        <w:shd w:val="clear" w:color="auto" w:fill="auto"/>
        <w:spacing w:line="178" w:lineRule="exact"/>
        <w:ind w:left="240"/>
      </w:pPr>
      <w:r>
        <w:t>planlanmıştır.</w:t>
      </w:r>
    </w:p>
    <w:p w:rsidR="00F562E6" w:rsidRDefault="00EA42C2">
      <w:pPr>
        <w:pStyle w:val="Gvdemetni20"/>
        <w:shd w:val="clear" w:color="auto" w:fill="auto"/>
        <w:ind w:left="240"/>
      </w:pPr>
      <w:r>
        <w:t>MUHAMMEN KIYMETİ: 600.000,00 TL (Altı Yüz bin Türk Lirası)</w:t>
      </w:r>
    </w:p>
    <w:p w:rsidR="00F562E6" w:rsidRDefault="00EA42C2">
      <w:pPr>
        <w:pStyle w:val="Gvdemetni20"/>
        <w:shd w:val="clear" w:color="auto" w:fill="auto"/>
        <w:ind w:left="240"/>
      </w:pPr>
      <w:r>
        <w:t>Satış Şartları:</w:t>
      </w:r>
    </w:p>
    <w:p w:rsidR="00F562E6" w:rsidRDefault="00EA42C2">
      <w:pPr>
        <w:pStyle w:val="Gvdemetni0"/>
        <w:numPr>
          <w:ilvl w:val="0"/>
          <w:numId w:val="2"/>
        </w:numPr>
        <w:shd w:val="clear" w:color="auto" w:fill="auto"/>
        <w:tabs>
          <w:tab w:val="left" w:pos="236"/>
        </w:tabs>
        <w:spacing w:line="178" w:lineRule="exact"/>
        <w:ind w:left="240" w:right="20"/>
      </w:pPr>
      <w:r>
        <w:rPr>
          <w:rStyle w:val="GvdemetniKaln"/>
        </w:rPr>
        <w:t>Gayr</w:t>
      </w:r>
      <w:r w:rsidR="00636B3E">
        <w:rPr>
          <w:rStyle w:val="GvdemetniKaln"/>
        </w:rPr>
        <w:t>i</w:t>
      </w:r>
      <w:r>
        <w:rPr>
          <w:rStyle w:val="GvdemetniKaln"/>
        </w:rPr>
        <w:t xml:space="preserve">menkulün 1. satışı 27.07.2012 Cuma günü, Saat: 10.20-10.30 arasında, ANTALYA ADLİYE SARAYI </w:t>
      </w:r>
      <w:r>
        <w:lastRenderedPageBreak/>
        <w:t>6.</w:t>
      </w:r>
      <w:r>
        <w:rPr>
          <w:rStyle w:val="GvdemetniKaln"/>
        </w:rPr>
        <w:t xml:space="preserve">İCRA MÜDÜRLÜĞÜ KAPISININ ÖNÜNDE KORİDORDA </w:t>
      </w:r>
      <w:r>
        <w:t xml:space="preserve">açık artırma suretiyle yapılacaktır. Bu artırmada tahmin edilen kıymetin %60'ını ve varsa rüçhanlı alacaklıların alacakları mecmuunu ve satış masraflarını geçmek şartı ile ihale olunur. Böyle bir bedelle alıcı çıkmazsa en çok artıranın taahhüdü baki kalmak şartıyla, </w:t>
      </w:r>
      <w:r>
        <w:rPr>
          <w:rStyle w:val="GvdemetniKaln"/>
        </w:rPr>
        <w:t xml:space="preserve">2. satışı 06.08.2012 Pazartesi günü, Saat: 10.20-10.30 arasında </w:t>
      </w:r>
      <w:r>
        <w:t>aynı yerde ikinci artırmaya çıkartılacaktır. Bu arttırmada bu miktar elde edilmemişse gayrimenkul en çok artıranın taahhüdü saklı kalmak üzere artırma ilanında gösterilen müddet sonunda en çok artırana ihale edilecektir. Şu kadar ki artırma bedelinin malın tahmin edilen kıymetinin %40’ını bulması ve satış isteyenin alacağına rüçhanı olan alacakların toplamından fazla olması ve bundan başka paraya çevirme ve paylaştırma masraflarını geçmesi lazımdır. Böyle fazla bedelle alıcı çıkmazsa satış talebi düşecektir.</w:t>
      </w:r>
    </w:p>
    <w:p w:rsidR="00F562E6" w:rsidRDefault="00EA42C2">
      <w:pPr>
        <w:pStyle w:val="Gvdemetni0"/>
        <w:numPr>
          <w:ilvl w:val="0"/>
          <w:numId w:val="2"/>
        </w:numPr>
        <w:shd w:val="clear" w:color="auto" w:fill="auto"/>
        <w:tabs>
          <w:tab w:val="left" w:pos="241"/>
        </w:tabs>
        <w:spacing w:line="178" w:lineRule="exact"/>
        <w:ind w:left="240" w:right="20"/>
      </w:pPr>
      <w:r>
        <w:t xml:space="preserve">Alacaklı şirket’in 5411 sayılı Bankacılık Kanununun 143. maddesi uyarınca kurulmuş VARLIK YÖNETİM ŞİRKETİ olması ve 3065 sayılı Katma Değer Vergisi Kanununun m. 17/4-1 bendine göre 4743 sayılı Mali Sektöre Olan Borçların Yeniden Yapılandırılması ve Bazı Kanunlarda Değişiklik Yapılması Hakkında Kanun kapsamında faaliyet gösteren VARLIK YÖNETİM şirketlerinin alacaklarının teminatını oluşturan mal ve hakların icra müdürlükleri tarafından satışının ve tesliminin KDV’den istisna olması sebebiyle </w:t>
      </w:r>
      <w:r>
        <w:rPr>
          <w:rStyle w:val="GvdemetniKaln"/>
        </w:rPr>
        <w:t>İHALEYE KATILAN VE KAZANAN GERÇEK/TÜZEL KİŞİLERDEN KDV ALINMAYACAKTIR.</w:t>
      </w:r>
    </w:p>
    <w:p w:rsidR="00F562E6" w:rsidRDefault="00EA42C2">
      <w:pPr>
        <w:pStyle w:val="Gvdemetni0"/>
        <w:numPr>
          <w:ilvl w:val="0"/>
          <w:numId w:val="2"/>
        </w:numPr>
        <w:shd w:val="clear" w:color="auto" w:fill="auto"/>
        <w:tabs>
          <w:tab w:val="left" w:pos="246"/>
        </w:tabs>
        <w:spacing w:line="178" w:lineRule="exact"/>
        <w:ind w:left="240" w:right="20"/>
      </w:pPr>
      <w:r>
        <w:t>Artırmaya iştirak edeceklerin, tahmin edilen kıymetin %20'si nispetinde nakit pey akçesi veya bu miktar kadar milli bir bankanın teminat mektubunu (kesin, kayıtsız, şartsız, günsüz) vermeleri lazımdır. Satış peşin para iledir. Alıcı istediğinde 10 günü geçmemek üzere mehil verebilir. Tellaliye resmi, tapu satım harcı ve birikmiş vergiler satış bedelinden ödenir. Resmi ihale pulu, tapu alım harç ve masrafları, tahliye ve teslim giderleri alıcıya aittir.</w:t>
      </w:r>
    </w:p>
    <w:p w:rsidR="00F562E6" w:rsidRDefault="00EA42C2">
      <w:pPr>
        <w:pStyle w:val="Gvdemetni0"/>
        <w:numPr>
          <w:ilvl w:val="0"/>
          <w:numId w:val="2"/>
        </w:numPr>
        <w:shd w:val="clear" w:color="auto" w:fill="auto"/>
        <w:tabs>
          <w:tab w:val="left" w:pos="255"/>
        </w:tabs>
        <w:spacing w:line="178" w:lineRule="exact"/>
        <w:ind w:left="240" w:right="20"/>
      </w:pPr>
      <w:r>
        <w:t>İpotek sahibi alacaklılarla diğer ilgililerin (IIK. m. 126 gereğince ilgililer tabirine irtifak hakkı sahipleri de dahildir) bu gayrimenkul üzerindeki haklarını hususiyle faiz ve masrafa dahil olan iddialarını, dayanağı belgeler ile on beş (15) gün içinde dairemize bildirmeleri lazımdır. Aksi takdirde hakları tapu sicili ile sabit olmadıkça paylaşmadan hariç bırakılacaklardır.</w:t>
      </w:r>
    </w:p>
    <w:p w:rsidR="00F562E6" w:rsidRDefault="00EA42C2">
      <w:pPr>
        <w:pStyle w:val="Gvdemetni0"/>
        <w:numPr>
          <w:ilvl w:val="0"/>
          <w:numId w:val="2"/>
        </w:numPr>
        <w:shd w:val="clear" w:color="auto" w:fill="auto"/>
        <w:tabs>
          <w:tab w:val="left" w:pos="250"/>
        </w:tabs>
        <w:spacing w:line="178" w:lineRule="exact"/>
        <w:ind w:left="240" w:right="20"/>
      </w:pPr>
      <w:r>
        <w:t>İhaleye katılıp daha sonra ihale bedelini yatırmamak suretiyle ihalenin feshine sebep olan tüm alıcılar ve kefilleri teklif ettikleri bedel ile son ihale bedeli arasındaki farktan ve diğer zararlardan ve ayrıca temerrüt faizinden müteselsilen mesul olacaklardır. İhale farkı ve temerrüt faizi hükme hacet kalmaksızın dairemizce tahsil olunacak, bu fark varsa öncelikle teminat bedelinden alınacaktır.</w:t>
      </w:r>
    </w:p>
    <w:p w:rsidR="00F562E6" w:rsidRDefault="00EA42C2">
      <w:pPr>
        <w:pStyle w:val="Gvdemetni0"/>
        <w:numPr>
          <w:ilvl w:val="0"/>
          <w:numId w:val="2"/>
        </w:numPr>
        <w:shd w:val="clear" w:color="auto" w:fill="auto"/>
        <w:tabs>
          <w:tab w:val="left" w:pos="241"/>
        </w:tabs>
        <w:spacing w:line="178" w:lineRule="exact"/>
        <w:ind w:left="240" w:right="20"/>
      </w:pPr>
      <w:r>
        <w:t>Şartname, ilan tarihinden itibaren herkesin görebilmesi için dairede açık olup masrafı verildiği takdirde isteyen alıcıya bir örneği gönderilebilir.</w:t>
      </w:r>
    </w:p>
    <w:p w:rsidR="00F562E6" w:rsidRDefault="00EA42C2">
      <w:pPr>
        <w:pStyle w:val="Gvdemetni0"/>
        <w:numPr>
          <w:ilvl w:val="0"/>
          <w:numId w:val="2"/>
        </w:numPr>
        <w:shd w:val="clear" w:color="auto" w:fill="auto"/>
        <w:tabs>
          <w:tab w:val="left" w:pos="246"/>
        </w:tabs>
        <w:spacing w:line="178" w:lineRule="exact"/>
        <w:ind w:left="240" w:right="20"/>
      </w:pPr>
      <w:r>
        <w:t xml:space="preserve">Satışa iştifik edenlerin şartnameyi görmüş ve münderecatını kabul etmiş sayılacakları, başkaca bilgi almak isteyenlerin Müdürlüğümüzün </w:t>
      </w:r>
      <w:r>
        <w:rPr>
          <w:rStyle w:val="GvdemetniKaln"/>
        </w:rPr>
        <w:t xml:space="preserve">2009/5930 Talimat </w:t>
      </w:r>
      <w:r>
        <w:t>sayılı dosya numarası ile Müdürlüğümüze başvurmaları ilan olunur. 31.05.2012</w:t>
      </w:r>
    </w:p>
    <w:p w:rsidR="00F562E6" w:rsidRDefault="00EA42C2">
      <w:pPr>
        <w:pStyle w:val="Gvdemetni20"/>
        <w:shd w:val="clear" w:color="auto" w:fill="auto"/>
        <w:ind w:left="240"/>
      </w:pPr>
      <w:r>
        <w:t>İş bu satış ilanı ilgililerin adreslerine tebliğe gönderilmiş olup, tebligat yapılamaması veya (İ.İ.K 127.</w:t>
      </w:r>
    </w:p>
    <w:p w:rsidR="00F562E6" w:rsidRDefault="00EA42C2">
      <w:pPr>
        <w:pStyle w:val="Gvdemetni20"/>
        <w:shd w:val="clear" w:color="auto" w:fill="auto"/>
        <w:ind w:left="240"/>
      </w:pPr>
      <w:r>
        <w:t>md gereğince) adresleri tespit edilemeyen ilgililere Hanen tebliğ mahiyetindedir.</w:t>
      </w:r>
    </w:p>
    <w:p w:rsidR="00F562E6" w:rsidRDefault="00EA42C2">
      <w:pPr>
        <w:pStyle w:val="Gvdemetni0"/>
        <w:shd w:val="clear" w:color="auto" w:fill="auto"/>
        <w:spacing w:line="178" w:lineRule="exact"/>
        <w:ind w:left="240"/>
      </w:pPr>
      <w:r>
        <w:t>Yönetmelik Örnek No:27</w:t>
      </w:r>
    </w:p>
    <w:p w:rsidR="00F562E6" w:rsidRDefault="00EA42C2">
      <w:pPr>
        <w:pStyle w:val="Gvdemetni20"/>
        <w:shd w:val="clear" w:color="auto" w:fill="auto"/>
        <w:ind w:right="20" w:firstLine="0"/>
        <w:jc w:val="right"/>
      </w:pPr>
      <w:r>
        <w:t xml:space="preserve">B. 39093 </w:t>
      </w:r>
      <w:hyperlink r:id="rId7" w:history="1">
        <w:r>
          <w:rPr>
            <w:rStyle w:val="Kpr"/>
            <w:lang w:val="en-US"/>
          </w:rPr>
          <w:t>www.bik.gov.tr</w:t>
        </w:r>
      </w:hyperlink>
    </w:p>
    <w:p w:rsidR="00F562E6" w:rsidRDefault="00F562E6">
      <w:pPr>
        <w:pStyle w:val="Gvdemetni30"/>
        <w:shd w:val="clear" w:color="auto" w:fill="auto"/>
        <w:tabs>
          <w:tab w:val="left" w:pos="2850"/>
          <w:tab w:val="left" w:pos="3862"/>
          <w:tab w:val="left" w:pos="4318"/>
        </w:tabs>
        <w:spacing w:line="130" w:lineRule="exact"/>
        <w:ind w:left="1160"/>
      </w:pPr>
    </w:p>
    <w:sectPr w:rsidR="00F562E6" w:rsidSect="00F562E6">
      <w:type w:val="continuous"/>
      <w:pgSz w:w="16838" w:h="16834" w:orient="landscape"/>
      <w:pgMar w:top="4012" w:right="2059" w:bottom="4204" w:left="2069" w:header="0" w:footer="3" w:gutter="0"/>
      <w:cols w:num="2" w:sep="1" w:space="20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A6E" w:rsidRDefault="000D0A6E" w:rsidP="00F562E6">
      <w:r>
        <w:separator/>
      </w:r>
    </w:p>
  </w:endnote>
  <w:endnote w:type="continuationSeparator" w:id="1">
    <w:p w:rsidR="000D0A6E" w:rsidRDefault="000D0A6E" w:rsidP="00F56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A6E" w:rsidRDefault="000D0A6E"/>
  </w:footnote>
  <w:footnote w:type="continuationSeparator" w:id="1">
    <w:p w:rsidR="000D0A6E" w:rsidRDefault="000D0A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FD2"/>
    <w:multiLevelType w:val="multilevel"/>
    <w:tmpl w:val="1F8CAB50"/>
    <w:lvl w:ilvl="0">
      <w:start w:val="1"/>
      <w:numFmt w:val="decimal"/>
      <w:lvlText w:val="%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3304EC"/>
    <w:multiLevelType w:val="multilevel"/>
    <w:tmpl w:val="21C4DBBA"/>
    <w:lvl w:ilvl="0">
      <w:start w:val="1"/>
      <w:numFmt w:val="decimal"/>
      <w:lvlText w:val="%1."/>
      <w:lvlJc w:val="left"/>
      <w:rPr>
        <w:rFonts w:ascii="Calibri" w:eastAsia="Calibri" w:hAnsi="Calibri" w:cs="Calibri"/>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562E6"/>
    <w:rsid w:val="000D0A6E"/>
    <w:rsid w:val="00636B3E"/>
    <w:rsid w:val="007054BE"/>
    <w:rsid w:val="00E470B9"/>
    <w:rsid w:val="00EA42C2"/>
    <w:rsid w:val="00F56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2E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562E6"/>
    <w:rPr>
      <w:color w:val="000080"/>
      <w:u w:val="single"/>
    </w:rPr>
  </w:style>
  <w:style w:type="character" w:customStyle="1" w:styleId="Balk1">
    <w:name w:val="Başlık #1_"/>
    <w:basedOn w:val="VarsaylanParagrafYazTipi"/>
    <w:link w:val="Balk10"/>
    <w:rsid w:val="00F562E6"/>
    <w:rPr>
      <w:rFonts w:ascii="Calibri" w:eastAsia="Calibri" w:hAnsi="Calibri" w:cs="Calibri"/>
      <w:b/>
      <w:bCs/>
      <w:i w:val="0"/>
      <w:iCs w:val="0"/>
      <w:smallCaps w:val="0"/>
      <w:strike w:val="0"/>
      <w:sz w:val="34"/>
      <w:szCs w:val="34"/>
      <w:u w:val="none"/>
    </w:rPr>
  </w:style>
  <w:style w:type="character" w:customStyle="1" w:styleId="Balk2">
    <w:name w:val="Başlık #2_"/>
    <w:basedOn w:val="VarsaylanParagrafYazTipi"/>
    <w:link w:val="Balk20"/>
    <w:rsid w:val="00F562E6"/>
    <w:rPr>
      <w:rFonts w:ascii="Calibri" w:eastAsia="Calibri" w:hAnsi="Calibri" w:cs="Calibri"/>
      <w:b/>
      <w:bCs/>
      <w:i w:val="0"/>
      <w:iCs w:val="0"/>
      <w:smallCaps w:val="0"/>
      <w:strike w:val="0"/>
      <w:sz w:val="21"/>
      <w:szCs w:val="21"/>
      <w:u w:val="none"/>
    </w:rPr>
  </w:style>
  <w:style w:type="character" w:customStyle="1" w:styleId="Gvdemetni2Exact">
    <w:name w:val="Gövde metni (2) Exact"/>
    <w:basedOn w:val="VarsaylanParagrafYazTipi"/>
    <w:rsid w:val="00F562E6"/>
    <w:rPr>
      <w:rFonts w:ascii="Calibri" w:eastAsia="Calibri" w:hAnsi="Calibri" w:cs="Calibri"/>
      <w:b/>
      <w:bCs/>
      <w:i w:val="0"/>
      <w:iCs w:val="0"/>
      <w:smallCaps w:val="0"/>
      <w:strike w:val="0"/>
      <w:sz w:val="13"/>
      <w:szCs w:val="13"/>
      <w:u w:val="none"/>
    </w:rPr>
  </w:style>
  <w:style w:type="character" w:customStyle="1" w:styleId="Gvdemetni">
    <w:name w:val="Gövde metni_"/>
    <w:basedOn w:val="VarsaylanParagrafYazTipi"/>
    <w:link w:val="Gvdemetni0"/>
    <w:rsid w:val="00F562E6"/>
    <w:rPr>
      <w:rFonts w:ascii="Calibri" w:eastAsia="Calibri" w:hAnsi="Calibri" w:cs="Calibri"/>
      <w:b w:val="0"/>
      <w:bCs w:val="0"/>
      <w:i w:val="0"/>
      <w:iCs w:val="0"/>
      <w:smallCaps w:val="0"/>
      <w:strike w:val="0"/>
      <w:sz w:val="14"/>
      <w:szCs w:val="14"/>
      <w:u w:val="none"/>
    </w:rPr>
  </w:style>
  <w:style w:type="character" w:customStyle="1" w:styleId="GvdemetniKaln">
    <w:name w:val="Gövde metni + Kalın"/>
    <w:basedOn w:val="Gvdemetni"/>
    <w:rsid w:val="00F562E6"/>
    <w:rPr>
      <w:b/>
      <w:bCs/>
      <w:color w:val="000000"/>
      <w:spacing w:val="0"/>
      <w:w w:val="100"/>
      <w:position w:val="0"/>
      <w:lang w:val="tr-TR"/>
    </w:rPr>
  </w:style>
  <w:style w:type="character" w:customStyle="1" w:styleId="Gvdemetni2">
    <w:name w:val="Gövde metni (2)_"/>
    <w:basedOn w:val="VarsaylanParagrafYazTipi"/>
    <w:link w:val="Gvdemetni20"/>
    <w:rsid w:val="00F562E6"/>
    <w:rPr>
      <w:rFonts w:ascii="Calibri" w:eastAsia="Calibri" w:hAnsi="Calibri" w:cs="Calibri"/>
      <w:b/>
      <w:bCs/>
      <w:i w:val="0"/>
      <w:iCs w:val="0"/>
      <w:smallCaps w:val="0"/>
      <w:strike w:val="0"/>
      <w:sz w:val="14"/>
      <w:szCs w:val="14"/>
      <w:u w:val="none"/>
    </w:rPr>
  </w:style>
  <w:style w:type="character" w:customStyle="1" w:styleId="Gvdemetni3">
    <w:name w:val="Gövde metni (3)_"/>
    <w:basedOn w:val="VarsaylanParagrafYazTipi"/>
    <w:link w:val="Gvdemetni30"/>
    <w:rsid w:val="00F562E6"/>
    <w:rPr>
      <w:rFonts w:ascii="Constantia" w:eastAsia="Constantia" w:hAnsi="Constantia" w:cs="Constantia"/>
      <w:b w:val="0"/>
      <w:bCs w:val="0"/>
      <w:i w:val="0"/>
      <w:iCs w:val="0"/>
      <w:smallCaps w:val="0"/>
      <w:strike w:val="0"/>
      <w:spacing w:val="40"/>
      <w:sz w:val="8"/>
      <w:szCs w:val="8"/>
      <w:u w:val="none"/>
    </w:rPr>
  </w:style>
  <w:style w:type="character" w:customStyle="1" w:styleId="Gvdemetni365pt0ptbolukbraklyor">
    <w:name w:val="Gövde metni (3) + 6;5 pt;0 pt boşluk bırakılıyor"/>
    <w:basedOn w:val="Gvdemetni3"/>
    <w:rsid w:val="00F562E6"/>
    <w:rPr>
      <w:color w:val="000000"/>
      <w:spacing w:val="0"/>
      <w:w w:val="100"/>
      <w:position w:val="0"/>
      <w:sz w:val="13"/>
      <w:szCs w:val="13"/>
      <w:lang w:val="tr-TR"/>
    </w:rPr>
  </w:style>
  <w:style w:type="character" w:customStyle="1" w:styleId="Gvdemetni3talik0ptbolukbraklyor">
    <w:name w:val="Gövde metni (3) + İtalik;0 pt boşluk bırakılıyor"/>
    <w:basedOn w:val="Gvdemetni3"/>
    <w:rsid w:val="00F562E6"/>
    <w:rPr>
      <w:i/>
      <w:iCs/>
      <w:color w:val="000000"/>
      <w:spacing w:val="0"/>
      <w:w w:val="100"/>
      <w:position w:val="0"/>
      <w:lang w:val="tr-TR"/>
    </w:rPr>
  </w:style>
  <w:style w:type="character" w:customStyle="1" w:styleId="Gvdemetni3SegoeUItalik0ptbolukbraklyor">
    <w:name w:val="Gövde metni (3) + Segoe UI;İtalik;0 pt boşluk bırakılıyor"/>
    <w:basedOn w:val="Gvdemetni3"/>
    <w:rsid w:val="00F562E6"/>
    <w:rPr>
      <w:rFonts w:ascii="Segoe UI" w:eastAsia="Segoe UI" w:hAnsi="Segoe UI" w:cs="Segoe UI"/>
      <w:i/>
      <w:iCs/>
      <w:color w:val="000000"/>
      <w:spacing w:val="0"/>
      <w:w w:val="100"/>
      <w:position w:val="0"/>
      <w:lang w:val="tr-TR"/>
    </w:rPr>
  </w:style>
  <w:style w:type="character" w:customStyle="1" w:styleId="Gvdemetni365pt0ptbolukbraklyor0">
    <w:name w:val="Gövde metni (3) + 6;5 pt;0 pt boşluk bırakılıyor"/>
    <w:basedOn w:val="Gvdemetni3"/>
    <w:rsid w:val="00F562E6"/>
    <w:rPr>
      <w:strike/>
      <w:color w:val="000000"/>
      <w:spacing w:val="0"/>
      <w:w w:val="100"/>
      <w:position w:val="0"/>
      <w:sz w:val="13"/>
      <w:szCs w:val="13"/>
      <w:lang w:val="tr-TR"/>
    </w:rPr>
  </w:style>
  <w:style w:type="paragraph" w:customStyle="1" w:styleId="Balk10">
    <w:name w:val="Başlık #1"/>
    <w:basedOn w:val="Normal"/>
    <w:link w:val="Balk1"/>
    <w:rsid w:val="00F562E6"/>
    <w:pPr>
      <w:shd w:val="clear" w:color="auto" w:fill="FFFFFF"/>
      <w:spacing w:after="120" w:line="0" w:lineRule="atLeast"/>
      <w:outlineLvl w:val="0"/>
    </w:pPr>
    <w:rPr>
      <w:rFonts w:ascii="Calibri" w:eastAsia="Calibri" w:hAnsi="Calibri" w:cs="Calibri"/>
      <w:b/>
      <w:bCs/>
      <w:sz w:val="34"/>
      <w:szCs w:val="34"/>
    </w:rPr>
  </w:style>
  <w:style w:type="paragraph" w:customStyle="1" w:styleId="Balk20">
    <w:name w:val="Başlık #2"/>
    <w:basedOn w:val="Normal"/>
    <w:link w:val="Balk2"/>
    <w:rsid w:val="00F562E6"/>
    <w:pPr>
      <w:shd w:val="clear" w:color="auto" w:fill="FFFFFF"/>
      <w:spacing w:before="120" w:line="0" w:lineRule="atLeast"/>
      <w:outlineLvl w:val="1"/>
    </w:pPr>
    <w:rPr>
      <w:rFonts w:ascii="Calibri" w:eastAsia="Calibri" w:hAnsi="Calibri" w:cs="Calibri"/>
      <w:b/>
      <w:bCs/>
      <w:sz w:val="21"/>
      <w:szCs w:val="21"/>
    </w:rPr>
  </w:style>
  <w:style w:type="paragraph" w:customStyle="1" w:styleId="Gvdemetni20">
    <w:name w:val="Gövde metni (2)"/>
    <w:basedOn w:val="Normal"/>
    <w:link w:val="Gvdemetni2"/>
    <w:rsid w:val="00F562E6"/>
    <w:pPr>
      <w:shd w:val="clear" w:color="auto" w:fill="FFFFFF"/>
      <w:spacing w:line="178" w:lineRule="exact"/>
      <w:ind w:hanging="220"/>
      <w:jc w:val="both"/>
    </w:pPr>
    <w:rPr>
      <w:rFonts w:ascii="Calibri" w:eastAsia="Calibri" w:hAnsi="Calibri" w:cs="Calibri"/>
      <w:b/>
      <w:bCs/>
      <w:sz w:val="14"/>
      <w:szCs w:val="14"/>
    </w:rPr>
  </w:style>
  <w:style w:type="paragraph" w:customStyle="1" w:styleId="Gvdemetni0">
    <w:name w:val="Gövde metni"/>
    <w:basedOn w:val="Normal"/>
    <w:link w:val="Gvdemetni"/>
    <w:rsid w:val="00F562E6"/>
    <w:pPr>
      <w:shd w:val="clear" w:color="auto" w:fill="FFFFFF"/>
      <w:spacing w:line="163" w:lineRule="exact"/>
      <w:ind w:hanging="220"/>
      <w:jc w:val="both"/>
    </w:pPr>
    <w:rPr>
      <w:rFonts w:ascii="Calibri" w:eastAsia="Calibri" w:hAnsi="Calibri" w:cs="Calibri"/>
      <w:sz w:val="14"/>
      <w:szCs w:val="14"/>
    </w:rPr>
  </w:style>
  <w:style w:type="paragraph" w:customStyle="1" w:styleId="Gvdemetni30">
    <w:name w:val="Gövde metni (3)"/>
    <w:basedOn w:val="Normal"/>
    <w:link w:val="Gvdemetni3"/>
    <w:rsid w:val="00F562E6"/>
    <w:pPr>
      <w:shd w:val="clear" w:color="auto" w:fill="FFFFFF"/>
      <w:spacing w:line="0" w:lineRule="atLeast"/>
    </w:pPr>
    <w:rPr>
      <w:rFonts w:ascii="Constantia" w:eastAsia="Constantia" w:hAnsi="Constantia" w:cs="Constantia"/>
      <w:spacing w:val="40"/>
      <w:sz w:val="8"/>
      <w:szCs w:val="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3</cp:revision>
  <dcterms:created xsi:type="dcterms:W3CDTF">2012-06-21T07:49:00Z</dcterms:created>
  <dcterms:modified xsi:type="dcterms:W3CDTF">2012-06-21T10:47:00Z</dcterms:modified>
</cp:coreProperties>
</file>