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E0" w:rsidRDefault="00EA6A85">
      <w:pPr>
        <w:pStyle w:val="Balk10"/>
        <w:framePr w:w="11870" w:h="10187" w:hRule="exact" w:wrap="none" w:vAnchor="page" w:hAnchor="page" w:x="2526" w:y="1248"/>
        <w:shd w:val="clear" w:color="auto" w:fill="auto"/>
        <w:spacing w:before="0"/>
        <w:ind w:left="140" w:right="163"/>
      </w:pPr>
      <w:bookmarkStart w:id="0" w:name="bookmark0"/>
      <w:r>
        <w:t>T.C. BÜYÜKÇEKMECE 2. SULH HUKUK MAHKEMESİ SATIŞ MEMURLUĞUNDAN</w:t>
      </w:r>
      <w:r>
        <w:br/>
        <w:t>TAŞINMAZIN AÇIK ARTIRMA İLANI</w:t>
      </w:r>
      <w:bookmarkEnd w:id="0"/>
    </w:p>
    <w:p w:rsidR="008931E0" w:rsidRDefault="00EA6A85">
      <w:pPr>
        <w:pStyle w:val="Balk20"/>
        <w:framePr w:w="11870" w:h="10187" w:hRule="exact" w:wrap="none" w:vAnchor="page" w:hAnchor="page" w:x="2526" w:y="1248"/>
        <w:shd w:val="clear" w:color="auto" w:fill="auto"/>
        <w:ind w:left="140" w:right="163"/>
      </w:pPr>
      <w:bookmarkStart w:id="1" w:name="bookmark1"/>
      <w:r>
        <w:t>2012/3 Satış</w:t>
      </w:r>
      <w:bookmarkEnd w:id="1"/>
    </w:p>
    <w:p w:rsidR="008931E0" w:rsidRDefault="00EA6A85">
      <w:pPr>
        <w:pStyle w:val="Gvdemetni0"/>
        <w:framePr w:w="11870" w:h="10187" w:hRule="exact" w:wrap="none" w:vAnchor="page" w:hAnchor="page" w:x="2526" w:y="1248"/>
        <w:shd w:val="clear" w:color="auto" w:fill="auto"/>
        <w:ind w:left="140" w:right="163"/>
      </w:pPr>
      <w:r>
        <w:t>Satılmasına karar verilen taşınmazın cinsi, niteliği, kıymeti, adedi, önemli özellikleri: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shd w:val="clear" w:color="auto" w:fill="auto"/>
        <w:ind w:left="140" w:right="280"/>
      </w:pPr>
      <w:r>
        <w:rPr>
          <w:rStyle w:val="GvdemetniKaln0ptbolukbraklyor"/>
        </w:rPr>
        <w:t>1 NO’LU TAŞINMAZIN Özellikleri</w:t>
      </w:r>
      <w:r>
        <w:t>: İSTANBUL İli, BÜYÜKÇEKMECE ilçesi, Mimarsinan, Bababurnu çöplüceyolu 3567 parselde kayıtlı 3.368,57m2 miktarlı taşınmaz olup Büyükçekmece</w:t>
      </w:r>
      <w:r>
        <w:br/>
        <w:t>Mimarsinan Uğurmumcu caddesi aile hekimliği ve muhtarlık binası arasında kalan boş konumdaki arsa olup çevresi bütünüyle Mimaroba Sinanoba toplu konut projesi ile çevrilidir.Mimarsinan</w:t>
      </w:r>
      <w:r>
        <w:br/>
        <w:t>merkezinde bir yerinde yer almakta olup belediye hizmetlerinden yararlanmakta olduğu bilirkişi raporunda belirtilmiş olup geniş evsafı bilirkişi raporunda mevcuttur.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shd w:val="clear" w:color="auto" w:fill="auto"/>
        <w:tabs>
          <w:tab w:val="left" w:pos="1186"/>
        </w:tabs>
        <w:ind w:left="140" w:right="163"/>
      </w:pPr>
      <w:r>
        <w:rPr>
          <w:rStyle w:val="GvdemetniKaln0ptbolukbraklyor"/>
        </w:rPr>
        <w:t>Adresi</w:t>
      </w:r>
      <w:r>
        <w:rPr>
          <w:rStyle w:val="GvdemetniKaln0ptbolukbraklyor"/>
        </w:rPr>
        <w:tab/>
      </w:r>
      <w:r>
        <w:t>• : Büyükçekmece Mimarsinan Uğurmumcu caddesi aile hekimliği ve muhtarlık binası arasında kalan boş konumdaki arsa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shd w:val="clear" w:color="auto" w:fill="auto"/>
        <w:tabs>
          <w:tab w:val="left" w:pos="1546"/>
        </w:tabs>
        <w:ind w:left="140" w:right="163"/>
      </w:pPr>
      <w:r>
        <w:rPr>
          <w:rStyle w:val="GvdemetniKaln0ptbolukbraklyor"/>
        </w:rPr>
        <w:t>Yüzölçümü</w:t>
      </w:r>
      <w:r>
        <w:rPr>
          <w:rStyle w:val="GvdemetniKaln0ptbolukbraklyor"/>
        </w:rPr>
        <w:tab/>
      </w:r>
      <w:r>
        <w:t>: 3.368,57m2</w:t>
      </w:r>
    </w:p>
    <w:p w:rsidR="008931E0" w:rsidRDefault="00EA6A85">
      <w:pPr>
        <w:pStyle w:val="indekiler20"/>
        <w:framePr w:w="11870" w:h="10187" w:hRule="exact" w:wrap="none" w:vAnchor="page" w:hAnchor="page" w:x="2526" w:y="1248"/>
        <w:shd w:val="clear" w:color="auto" w:fill="auto"/>
        <w:tabs>
          <w:tab w:val="left" w:pos="1546"/>
        </w:tabs>
        <w:ind w:left="140" w:right="163"/>
      </w:pPr>
      <w:r>
        <w:t>Arsa Payı</w:t>
      </w:r>
      <w:r>
        <w:tab/>
      </w:r>
      <w:r>
        <w:rPr>
          <w:rStyle w:val="indekiler2KalnDeil0ptbolukbraklyor"/>
        </w:rPr>
        <w:t>: Tam</w:t>
      </w:r>
    </w:p>
    <w:p w:rsidR="008931E0" w:rsidRDefault="00EA6A85">
      <w:pPr>
        <w:pStyle w:val="indekiler0"/>
        <w:framePr w:w="11870" w:h="10187" w:hRule="exact" w:wrap="none" w:vAnchor="page" w:hAnchor="page" w:x="2526" w:y="1248"/>
        <w:shd w:val="clear" w:color="auto" w:fill="auto"/>
        <w:tabs>
          <w:tab w:val="left" w:pos="1537"/>
        </w:tabs>
        <w:ind w:left="140" w:right="163"/>
      </w:pPr>
      <w:r>
        <w:rPr>
          <w:rStyle w:val="indekilerKaln0ptbolukbraklyor"/>
        </w:rPr>
        <w:t>İmar Durumu</w:t>
      </w:r>
      <w:r>
        <w:rPr>
          <w:rStyle w:val="indekilerKaln0ptbolukbraklyor"/>
        </w:rPr>
        <w:tab/>
      </w:r>
      <w:r>
        <w:t>: Büyükçekmece Belediye Başkanlığının dosyada mevcut 24.05.2012 tarihli yazısında “Büyükçekmece ilçesi, Batıköy mahallesi, 3567 parsel sayılı taşınmaz</w:t>
      </w:r>
    </w:p>
    <w:p w:rsidR="008931E0" w:rsidRDefault="00EA6A85">
      <w:pPr>
        <w:pStyle w:val="indekiler0"/>
        <w:framePr w:w="11870" w:h="10187" w:hRule="exact" w:wrap="none" w:vAnchor="page" w:hAnchor="page" w:x="2526" w:y="1248"/>
        <w:shd w:val="clear" w:color="auto" w:fill="auto"/>
        <w:ind w:left="1580"/>
        <w:jc w:val="left"/>
      </w:pPr>
      <w:r>
        <w:t>12.11.1985 onay tarihli 1/1000 ölçekli Batıköy toplu konut imar planında sağlık tesisi alanı olarak ayrıldığı” denilmektedir.</w:t>
      </w:r>
    </w:p>
    <w:p w:rsidR="008931E0" w:rsidRDefault="00EA6A85">
      <w:pPr>
        <w:pStyle w:val="indekiler20"/>
        <w:framePr w:w="11870" w:h="10187" w:hRule="exact" w:wrap="none" w:vAnchor="page" w:hAnchor="page" w:x="2526" w:y="1248"/>
        <w:shd w:val="clear" w:color="auto" w:fill="auto"/>
        <w:tabs>
          <w:tab w:val="left" w:pos="1542"/>
        </w:tabs>
        <w:ind w:left="140" w:right="163"/>
      </w:pPr>
      <w:r>
        <w:t>Kıymeti</w:t>
      </w:r>
      <w:r>
        <w:tab/>
        <w:t>: 1.684.285,00.- TL</w:t>
      </w:r>
    </w:p>
    <w:p w:rsidR="008931E0" w:rsidRDefault="00EA6A85">
      <w:pPr>
        <w:pStyle w:val="indekiler20"/>
        <w:framePr w:w="11870" w:h="10187" w:hRule="exact" w:wrap="none" w:vAnchor="page" w:hAnchor="page" w:x="2526" w:y="1248"/>
        <w:shd w:val="clear" w:color="auto" w:fill="auto"/>
        <w:tabs>
          <w:tab w:val="left" w:pos="1542"/>
        </w:tabs>
        <w:ind w:left="140" w:right="163"/>
      </w:pPr>
      <w:r>
        <w:t>KDV Oranı</w:t>
      </w:r>
      <w:r>
        <w:tab/>
      </w:r>
      <w:r>
        <w:rPr>
          <w:rStyle w:val="indekiler2KalnDeil0ptbolukbraklyor"/>
        </w:rPr>
        <w:t>: %18</w:t>
      </w:r>
    </w:p>
    <w:p w:rsidR="008931E0" w:rsidRDefault="00EA6A85">
      <w:pPr>
        <w:pStyle w:val="indekiler0"/>
        <w:framePr w:w="11870" w:h="10187" w:hRule="exact" w:wrap="none" w:vAnchor="page" w:hAnchor="page" w:x="2526" w:y="1248"/>
        <w:shd w:val="clear" w:color="auto" w:fill="auto"/>
        <w:tabs>
          <w:tab w:val="left" w:pos="8238"/>
        </w:tabs>
        <w:ind w:left="140" w:right="163"/>
      </w:pPr>
      <w:r>
        <w:rPr>
          <w:rStyle w:val="indekilerKaln0ptbolukbraklyor"/>
        </w:rPr>
        <w:t xml:space="preserve">Kaydındaki Şerhler </w:t>
      </w:r>
      <w:r>
        <w:t>: dosyada mevcut tapudaki gibidir</w:t>
      </w:r>
      <w:r>
        <w:tab/>
      </w:r>
      <w:r>
        <w:rPr>
          <w:rStyle w:val="indekilerCalibritalik0ptbolukbraklyor"/>
        </w:rPr>
        <w:t>*</w:t>
      </w:r>
    </w:p>
    <w:p w:rsidR="008931E0" w:rsidRDefault="00EA6A85">
      <w:pPr>
        <w:pStyle w:val="Gvdemetni20"/>
        <w:framePr w:w="11870" w:h="10187" w:hRule="exact" w:wrap="none" w:vAnchor="page" w:hAnchor="page" w:x="2526" w:y="1248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178" w:lineRule="exact"/>
        <w:ind w:left="140" w:right="163"/>
        <w:jc w:val="both"/>
      </w:pPr>
      <w:r>
        <w:t>Satış Günü : 11/03/2013 günü 14:00 -14:10 arası</w:t>
      </w:r>
    </w:p>
    <w:p w:rsidR="008931E0" w:rsidRDefault="00EA6A85">
      <w:pPr>
        <w:pStyle w:val="Gvdemetni20"/>
        <w:framePr w:w="11870" w:h="10187" w:hRule="exact" w:wrap="none" w:vAnchor="page" w:hAnchor="page" w:x="2526" w:y="1248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178" w:lineRule="exact"/>
        <w:ind w:left="140" w:right="163"/>
        <w:jc w:val="both"/>
      </w:pPr>
      <w:r>
        <w:t>Satış Günü : 05/04/2013 günü 14:00 - 14:10 arası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shd w:val="clear" w:color="auto" w:fill="auto"/>
        <w:tabs>
          <w:tab w:val="left" w:pos="1542"/>
        </w:tabs>
        <w:ind w:left="140" w:right="163"/>
      </w:pPr>
      <w:r>
        <w:rPr>
          <w:rStyle w:val="GvdemetniKaln0ptbolukbraklyor"/>
        </w:rPr>
        <w:t>Satış Yeri</w:t>
      </w:r>
      <w:r>
        <w:rPr>
          <w:rStyle w:val="GvdemetniKaln0ptbolukbraklyor"/>
        </w:rPr>
        <w:tab/>
      </w:r>
      <w:r>
        <w:t>: BÜYÜKÇEKMECE ADLIYESI EK BİNA AYMERKEZ KARŞISI BÜYÜKÇEKMECE 1. SULH HUKUK MAHKEMESİ DURUŞMA SALONU</w:t>
      </w:r>
    </w:p>
    <w:p w:rsidR="008931E0" w:rsidRDefault="00EA6A85">
      <w:pPr>
        <w:pStyle w:val="Gvdemetni20"/>
        <w:framePr w:w="11870" w:h="10187" w:hRule="exact" w:wrap="none" w:vAnchor="page" w:hAnchor="page" w:x="2526" w:y="1248"/>
        <w:shd w:val="clear" w:color="auto" w:fill="auto"/>
        <w:spacing w:after="0" w:line="178" w:lineRule="exact"/>
        <w:ind w:left="140" w:right="163"/>
        <w:jc w:val="both"/>
      </w:pPr>
      <w:r>
        <w:t>SATIŞ ŞARTLARI :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numPr>
          <w:ilvl w:val="0"/>
          <w:numId w:val="2"/>
        </w:numPr>
        <w:shd w:val="clear" w:color="auto" w:fill="auto"/>
        <w:tabs>
          <w:tab w:val="left" w:pos="351"/>
        </w:tabs>
        <w:ind w:left="140" w:right="280"/>
      </w:pPr>
      <w:r>
        <w:t>Yukarıda Tapu Kaydı, Genel Özellikleri ve Kıymeti belirtili taşınmazın birinci ve ikinci ihale günü ile satış yeri yukarıda belirtilmiş olup, 1. ihale günü tahmin edilen kıymetin %50sini</w:t>
      </w:r>
      <w:r>
        <w:br/>
        <w:t>ve rüçhanlı alacaklılar varsa alacakları mecmuunu ve satış masraflarını geçmek şartı ile ihale olunur. Böyle bir bedelle alıcı çıkmazsa taşınmaz en çok arttıranın taahhüdü baki kalmak</w:t>
      </w:r>
      <w:r>
        <w:br/>
        <w:t>şartıyla yukarıda yazılı ikinci satış günü aynı yer ve saatinde taşınmaz ilanda gösterilen müddet sonunda en çok arttırana ihale edilecektir. Şu kadarki; Artırma bedelinin malın tahmin</w:t>
      </w:r>
      <w:r>
        <w:br/>
        <w:t>edilen kıymetinin %50' sini bulması ve satış isteyenin alacağına rüçhanı olan alacakların toplamından fazla olması ve bundan başka, paraya çevirme ve paylaştırma masraflarını geçmesi</w:t>
      </w:r>
      <w:r>
        <w:br/>
        <w:t>lazımdır. Böyle fazla bedelle alıcı çıkmazsa satış talebi düşecektir. Açık artırmaya elektronik ortamda teklif verme yoluyla başlanır. Elektronik ortamda teklif verme, birinci ihale tarihinden</w:t>
      </w:r>
      <w:r>
        <w:br/>
        <w:t>yirmi gün önce başlar, ihalenin tamamlanacağı günden önceki gün sonunda sona erer; ikinci ihalede ise elektronik ortamda teklif verme birinci ihaleden sonraki beşinci gün başlar,</w:t>
      </w:r>
      <w:r>
        <w:br/>
        <w:t>ikinci ihalenin tamamlanacağı 05.04.2013 tarihinden önceki gün sonunda sona erer. Elektronik ortamda verilecek teklifler malın muhammen kıymetinin yüzde ellisinden az olamaz;</w:t>
      </w:r>
      <w:r>
        <w:br/>
        <w:t>teklif vermeden önce, ihaleye çıkarılan malın muhammen kıymetinin yüzde yirmisi nispetinde teminat gösterilmesi zorunludur. Elektronik ortamda teklif verecekler için Adalet Bakanlığı</w:t>
      </w:r>
      <w:r>
        <w:br/>
        <w:t>Resmi Internet Sitesinde mevcut e-satış portalı üzerinden Satış Memurluğumuz birim kodu olarak (Birim kodu: 1033529) esas alınması ve mutlaka Memurluğumuz 2012/3 Satış Dosya</w:t>
      </w:r>
      <w:r>
        <w:br/>
        <w:t>numarasının belirtilmesi gerekmektedir.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numPr>
          <w:ilvl w:val="0"/>
          <w:numId w:val="2"/>
        </w:numPr>
        <w:shd w:val="clear" w:color="auto" w:fill="auto"/>
        <w:tabs>
          <w:tab w:val="left" w:pos="366"/>
        </w:tabs>
        <w:ind w:left="140" w:right="280"/>
      </w:pPr>
      <w:r>
        <w:t>Artırmaya iştirak edeceklerin taşınmazın tahmin edilen kıymetinin yüzde yirmisi nispetinde pey akçesi veya milli bir bankanın teminat mektubunu tevdi etmeleri, elektronik ortamda</w:t>
      </w:r>
      <w:r>
        <w:br/>
        <w:t>teklif vererek artırmaya katılacaklarda yine teminat göstermesi gerekmektedir. (IIK.Md. 124/3). İhaleye fiziken iştirak edecek veya teklifte bulunacak gerçek veya tüzel kişiler Teminat</w:t>
      </w:r>
      <w:r>
        <w:br/>
        <w:t>bedelini ihaleye katılımdan önce İş bu dosya adına Büyükçekmece 2.( Sulh Hukuk Mah.) Satış Memurluğu açılmış bulunan Büyükçekmece Vakıflar Bankası Şubesi nezdindeki TR</w:t>
      </w:r>
      <w:r>
        <w:br/>
        <w:t>640001500158007300702044 IBAN numaralı hesaba katılımcı tarafından T.C. Kimlik veya Vergi Numaraları yazılı vaziyette yatırılmış olması ve banka dekontunun aslının ibraz</w:t>
      </w:r>
      <w:r>
        <w:br/>
        <w:t>edilmiş olması gerekmektedir. Sadece elektronik ortamda teklif verecek gerçek veya tüzel kişiler ise Teminat Bedellerini yine Adalet Bakanlığı Resmi Internet Sitesinde mevcut e-satış</w:t>
      </w:r>
      <w:r>
        <w:br/>
        <w:t>portalı üzerinden tanımlanmış bulunan hesaba yine elektronik ortamda yatıracaklardır. Banka hesabına yatırılan teminat bedellerinin iadesi yine banka hesabı üzerinden yatıran kişinin</w:t>
      </w:r>
      <w:r>
        <w:br/>
        <w:t>hesabına yapılacaktır. Bu gayrimenkul üzerinde hakkı olan alacaklının iştiraki halinde alacağı mezkur nispet raddesinde ise İIK. Md. 124/4 gereğince ayrıca pey akçesi veya teminat</w:t>
      </w:r>
      <w:r>
        <w:br/>
        <w:t>aranmaz. Satış peşin para iledir. Alıcı istediğinde 10 günü geçmemek üzere mehil verilebilir. %18 KDV.,%o 5,69 D.V., %o 20 Tapu Alım Harcı, gayri menkulün tahliye ve teslim masrafları</w:t>
      </w:r>
      <w:r>
        <w:br/>
        <w:t>ile yasalarca alıcıya yüklenen her türlü vergi ve giderler alıcıya aittir. Yukarıda yazılı Dellaliye, Tapu Satım harcı ve Taşınmazın aynından doğan birikmiş vergiler satış bedelinden ödenir.</w:t>
      </w:r>
      <w:r>
        <w:br/>
        <w:t>(Vergi, Harç oran ve cinslerinde yasal değişiklik yapılması halinde ilgili mevzuat uygulanacaktır.)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numPr>
          <w:ilvl w:val="0"/>
          <w:numId w:val="2"/>
        </w:numPr>
        <w:shd w:val="clear" w:color="auto" w:fill="auto"/>
        <w:tabs>
          <w:tab w:val="left" w:pos="375"/>
        </w:tabs>
        <w:ind w:left="140" w:right="280"/>
      </w:pPr>
      <w:r>
        <w:t>İpotek sahibi alacaklılarla diğer ilgililerin (*) bu gayrimenkul üzerindeki haklarını hususiyle faiz ve masrafa dair olan iddialarını dayanağı belgeler ile onbeş gün içinde dairemize bildirmeleri</w:t>
      </w:r>
      <w:r>
        <w:br/>
        <w:t>lazımdır. Aksi takdirde haklan tapu sicili ile sabit olmadıkça paylaşmadan hariç bırakılacaklardır.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numPr>
          <w:ilvl w:val="0"/>
          <w:numId w:val="2"/>
        </w:numPr>
        <w:shd w:val="clear" w:color="auto" w:fill="auto"/>
        <w:tabs>
          <w:tab w:val="left" w:pos="380"/>
        </w:tabs>
        <w:ind w:left="140" w:right="280"/>
      </w:pPr>
      <w:r>
        <w:t>İhaleye katılıp daha sonra ihale bedelini yatırmamak suretiyle ihalenin feshine sebep olan tüm alıcılar ve kefilleri teklif ettikleri bedel ile son ihale bedeli arasındaki farktan ve diğer</w:t>
      </w:r>
      <w:r>
        <w:br/>
        <w:t>zararlardan ve ayrıca temerrüt faizinden müteselsilen mesul olacaklardır. İhale farkı ve temerrüt faizi ayrıca hükme hacet kalmaksızın Dairemizce tahsil olunacak, bu fark varsa öncelikle</w:t>
      </w:r>
      <w:r>
        <w:br/>
        <w:t>teminat bedelinden alınacaktır.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numPr>
          <w:ilvl w:val="0"/>
          <w:numId w:val="2"/>
        </w:numPr>
        <w:shd w:val="clear" w:color="auto" w:fill="auto"/>
        <w:tabs>
          <w:tab w:val="left" w:pos="361"/>
        </w:tabs>
        <w:ind w:left="140" w:right="280"/>
      </w:pPr>
      <w:r>
        <w:t>Şartname, ilan tarihinden itibaren herkesin görebilmesi için dairede açık olup, masrafı verildiği takdirde isteyen alıcıya bir örneği gönderilebilir, işbu ilan tapu kayıtlarında adresi bulunmayan</w:t>
      </w:r>
      <w:r>
        <w:br/>
        <w:t>bütün ilgililere tebliğ yerine geçer.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numPr>
          <w:ilvl w:val="0"/>
          <w:numId w:val="2"/>
        </w:numPr>
        <w:shd w:val="clear" w:color="auto" w:fill="auto"/>
        <w:tabs>
          <w:tab w:val="left" w:pos="370"/>
        </w:tabs>
        <w:ind w:left="140" w:right="280"/>
      </w:pPr>
      <w:r>
        <w:t>Satışa iştirak edenlerin, şartnameyi görmüş ve münderecatını kabul etmiş, taşınmazla ilgili dosyada mevcut her türlü bilgi ve belgeyi görmüş-okumuş biliyor sayılacakları, Ayrıca Yabancı</w:t>
      </w:r>
      <w:r>
        <w:br/>
        <w:t>uyruklu gerçek kişiler ile yabancı ülkelerde kendi ülkelerinin kanunlarına göre kurulan tüzel kişiliğe sahip ticaret şirketlerinin Gayrimenkul hukuku ile ilgili haklan için 2644 Sayılı Tapu</w:t>
      </w:r>
      <w:r>
        <w:br/>
        <w:t>Kanunu hükümleri saklı tutulduğunun bilinerek ihale öncesi ilgililerinin kendi durumlarını bu yasa çerçevesinde değerlendirerek lüzumlu bilgi ve belgeleri temin ettikten sonra ihaleye</w:t>
      </w:r>
      <w:r>
        <w:br/>
        <w:t xml:space="preserve">katılmaları gerektiği, ihale yapılmış olsa dahi bu yasaya aykırılık tespiti halinde her türlü yasal sorumluluk alıcı veya alıcılara ait olacaktır, başkaca bilgi almak isteyenlerin </w:t>
      </w:r>
      <w:r>
        <w:rPr>
          <w:rStyle w:val="GvdemetniKaln0ptbolukbraklyor"/>
        </w:rPr>
        <w:t>2012 /3 SATIŞ</w:t>
      </w:r>
      <w:r>
        <w:rPr>
          <w:rStyle w:val="GvdemetniKaln0ptbolukbraklyor"/>
        </w:rPr>
        <w:br/>
      </w:r>
      <w:r>
        <w:t>sayılı dosya numarası ile Memurluğumuza başvurmaları ilan olunur. 05.02.2013</w:t>
      </w:r>
    </w:p>
    <w:p w:rsidR="008931E0" w:rsidRDefault="00EA6A85">
      <w:pPr>
        <w:pStyle w:val="Gvdemetni0"/>
        <w:framePr w:w="11870" w:h="10187" w:hRule="exact" w:wrap="none" w:vAnchor="page" w:hAnchor="page" w:x="2526" w:y="1248"/>
        <w:shd w:val="clear" w:color="auto" w:fill="auto"/>
        <w:tabs>
          <w:tab w:val="left" w:pos="10215"/>
        </w:tabs>
        <w:spacing w:after="106"/>
        <w:ind w:left="140" w:right="163"/>
      </w:pPr>
      <w:r>
        <w:t>(lc.lf.K.126) (*) İlgililer tabirine irtifak hakkı sahipleri de dahildir.</w:t>
      </w:r>
      <w:r>
        <w:tab/>
      </w:r>
      <w:r>
        <w:rPr>
          <w:rStyle w:val="GvdemetniKaln0ptbolukbraklyor"/>
        </w:rPr>
        <w:t xml:space="preserve">B.6974 </w:t>
      </w:r>
      <w:hyperlink r:id="rId7" w:history="1">
        <w:r>
          <w:rPr>
            <w:rStyle w:val="Kpr"/>
            <w:lang w:val="en-US"/>
          </w:rPr>
          <w:t>www.bik.gov.tr</w:t>
        </w:r>
      </w:hyperlink>
    </w:p>
    <w:p w:rsidR="008931E0" w:rsidRDefault="00EA6A85">
      <w:pPr>
        <w:pStyle w:val="Gvdemetni20"/>
        <w:framePr w:w="11870" w:h="10187" w:hRule="exact" w:wrap="none" w:vAnchor="page" w:hAnchor="page" w:x="2526" w:y="1248"/>
        <w:shd w:val="clear" w:color="auto" w:fill="auto"/>
        <w:tabs>
          <w:tab w:val="left" w:leader="underscore" w:pos="5074"/>
          <w:tab w:val="left" w:leader="underscore" w:pos="5890"/>
          <w:tab w:val="left" w:leader="underscore" w:pos="6922"/>
        </w:tabs>
        <w:spacing w:after="0" w:line="120" w:lineRule="exact"/>
        <w:ind w:right="280"/>
        <w:jc w:val="right"/>
      </w:pPr>
      <w:r>
        <w:rPr>
          <w:rStyle w:val="Gvdemetni21"/>
          <w:b/>
          <w:bCs/>
        </w:rPr>
        <w:t>Resmi ilanlar www.ilan.gov.tr’de</w:t>
      </w:r>
      <w:r>
        <w:tab/>
      </w:r>
      <w:r>
        <w:tab/>
      </w:r>
      <w:r>
        <w:tab/>
      </w:r>
    </w:p>
    <w:p w:rsidR="008931E0" w:rsidRDefault="00EA6A85">
      <w:pPr>
        <w:pStyle w:val="Gvdemetni30"/>
        <w:framePr w:wrap="none" w:vAnchor="page" w:hAnchor="page" w:x="2526" w:y="11404"/>
        <w:shd w:val="clear" w:color="auto" w:fill="auto"/>
        <w:tabs>
          <w:tab w:val="left" w:pos="4785"/>
        </w:tabs>
        <w:spacing w:before="0" w:line="80" w:lineRule="exact"/>
        <w:ind w:left="4286"/>
      </w:pPr>
      <w:r>
        <w:t>tt|V»</w:t>
      </w:r>
      <w:r>
        <w:tab/>
        <w:t>\7|l IflbJ</w:t>
      </w:r>
    </w:p>
    <w:p w:rsidR="008931E0" w:rsidRDefault="008931E0">
      <w:pPr>
        <w:rPr>
          <w:sz w:val="2"/>
          <w:szCs w:val="2"/>
        </w:rPr>
      </w:pPr>
    </w:p>
    <w:sectPr w:rsidR="008931E0" w:rsidSect="008931E0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6B" w:rsidRDefault="000D3D6B" w:rsidP="008931E0">
      <w:r>
        <w:separator/>
      </w:r>
    </w:p>
  </w:endnote>
  <w:endnote w:type="continuationSeparator" w:id="0">
    <w:p w:rsidR="000D3D6B" w:rsidRDefault="000D3D6B" w:rsidP="0089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6B" w:rsidRDefault="000D3D6B"/>
  </w:footnote>
  <w:footnote w:type="continuationSeparator" w:id="0">
    <w:p w:rsidR="000D3D6B" w:rsidRDefault="000D3D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819"/>
    <w:multiLevelType w:val="multilevel"/>
    <w:tmpl w:val="DAD260E4"/>
    <w:lvl w:ilvl="0">
      <w:start w:val="1"/>
      <w:numFmt w:val="decimal"/>
      <w:lvlText w:val="%1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3293D"/>
    <w:multiLevelType w:val="multilevel"/>
    <w:tmpl w:val="127C64E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931E0"/>
    <w:rsid w:val="000D3D6B"/>
    <w:rsid w:val="003D0089"/>
    <w:rsid w:val="00826584"/>
    <w:rsid w:val="008931E0"/>
    <w:rsid w:val="00D63100"/>
    <w:rsid w:val="00EA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31E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931E0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8931E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alk1">
    <w:name w:val="Başlık #1_"/>
    <w:basedOn w:val="VarsaylanParagrafYazTipi"/>
    <w:link w:val="Balk10"/>
    <w:rsid w:val="008931E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32"/>
      <w:szCs w:val="32"/>
      <w:u w:val="none"/>
    </w:rPr>
  </w:style>
  <w:style w:type="character" w:customStyle="1" w:styleId="Balk2">
    <w:name w:val="Başlık #2_"/>
    <w:basedOn w:val="VarsaylanParagrafYazTipi"/>
    <w:link w:val="Balk20"/>
    <w:rsid w:val="008931E0"/>
    <w:rPr>
      <w:rFonts w:ascii="Calibri" w:eastAsia="Calibri" w:hAnsi="Calibri" w:cs="Calibri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sid w:val="008931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GvdemetniKaln0ptbolukbraklyor">
    <w:name w:val="Gövde metni + Kalın;0 pt boşluk bırakılıyor"/>
    <w:basedOn w:val="Gvdemetni"/>
    <w:rsid w:val="008931E0"/>
    <w:rPr>
      <w:b/>
      <w:bCs/>
      <w:color w:val="000000"/>
      <w:spacing w:val="0"/>
      <w:w w:val="100"/>
      <w:position w:val="0"/>
      <w:lang w:val="tr-TR"/>
    </w:rPr>
  </w:style>
  <w:style w:type="character" w:customStyle="1" w:styleId="indekiler2">
    <w:name w:val="İçindekiler (2)_"/>
    <w:basedOn w:val="VarsaylanParagrafYazTipi"/>
    <w:link w:val="indekiler20"/>
    <w:rsid w:val="008931E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indekiler2KalnDeil0ptbolukbraklyor">
    <w:name w:val="İçindekiler (2) + Kalın Değil;0 pt boşluk bırakılıyor"/>
    <w:basedOn w:val="indekiler2"/>
    <w:rsid w:val="008931E0"/>
    <w:rPr>
      <w:b/>
      <w:bCs/>
      <w:color w:val="000000"/>
      <w:spacing w:val="3"/>
      <w:w w:val="100"/>
      <w:position w:val="0"/>
      <w:lang w:val="tr-TR"/>
    </w:rPr>
  </w:style>
  <w:style w:type="character" w:customStyle="1" w:styleId="indekiler">
    <w:name w:val="İçindekiler_"/>
    <w:basedOn w:val="VarsaylanParagrafYazTipi"/>
    <w:link w:val="indekiler0"/>
    <w:rsid w:val="008931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indekilerKaln0ptbolukbraklyor">
    <w:name w:val="İçindekiler + Kalın;0 pt boşluk bırakılıyor"/>
    <w:basedOn w:val="indekiler"/>
    <w:rsid w:val="008931E0"/>
    <w:rPr>
      <w:b/>
      <w:bCs/>
      <w:color w:val="000000"/>
      <w:spacing w:val="0"/>
      <w:w w:val="100"/>
      <w:position w:val="0"/>
      <w:lang w:val="tr-TR"/>
    </w:rPr>
  </w:style>
  <w:style w:type="character" w:customStyle="1" w:styleId="indekilerCalibritalik0ptbolukbraklyor">
    <w:name w:val="İçindekiler + Calibri;İtalik;0 pt boşluk bırakılıyor"/>
    <w:basedOn w:val="indekiler"/>
    <w:rsid w:val="008931E0"/>
    <w:rPr>
      <w:rFonts w:ascii="Calibri" w:eastAsia="Calibri" w:hAnsi="Calibri" w:cs="Calibri"/>
      <w:i/>
      <w:iCs/>
      <w:color w:val="000000"/>
      <w:spacing w:val="0"/>
      <w:w w:val="100"/>
      <w:position w:val="0"/>
    </w:rPr>
  </w:style>
  <w:style w:type="character" w:customStyle="1" w:styleId="GvdemetniCalibri7ptKaln0ptbolukbraklyor">
    <w:name w:val="Gövde metni + Calibri;7 pt;Kalın;0 pt boşluk bırakılıyor"/>
    <w:basedOn w:val="Gvdemetni"/>
    <w:rsid w:val="008931E0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</w:rPr>
  </w:style>
  <w:style w:type="character" w:customStyle="1" w:styleId="GvdemetniCalibri4pt0ptbolukbraklyor">
    <w:name w:val="Gövde metni + Calibri;4 pt;0 pt boşluk bırakılıyor"/>
    <w:basedOn w:val="Gvdemetni"/>
    <w:rsid w:val="008931E0"/>
    <w:rPr>
      <w:rFonts w:ascii="Calibri" w:eastAsia="Calibri" w:hAnsi="Calibri" w:cs="Calibri"/>
      <w:color w:val="000000"/>
      <w:spacing w:val="0"/>
      <w:w w:val="100"/>
      <w:position w:val="0"/>
      <w:sz w:val="8"/>
      <w:szCs w:val="8"/>
    </w:rPr>
  </w:style>
  <w:style w:type="character" w:customStyle="1" w:styleId="Gvdemetni21">
    <w:name w:val="Gövde metni (2)"/>
    <w:basedOn w:val="Gvdemetni2"/>
    <w:rsid w:val="008931E0"/>
    <w:rPr>
      <w:color w:val="000000"/>
      <w:spacing w:val="0"/>
      <w:w w:val="100"/>
      <w:position w:val="0"/>
      <w:u w:val="single"/>
      <w:lang w:val="tr-TR"/>
    </w:rPr>
  </w:style>
  <w:style w:type="character" w:customStyle="1" w:styleId="Gvdemetni3">
    <w:name w:val="Gövde metni (3)_"/>
    <w:basedOn w:val="VarsaylanParagrafYazTipi"/>
    <w:link w:val="Gvdemetni30"/>
    <w:rsid w:val="008931E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paragraph" w:customStyle="1" w:styleId="Gvdemetni20">
    <w:name w:val="Gövde metni (2)"/>
    <w:basedOn w:val="Normal"/>
    <w:link w:val="Gvdemetni2"/>
    <w:rsid w:val="008931E0"/>
    <w:pPr>
      <w:shd w:val="clear" w:color="auto" w:fill="FFFFFF"/>
      <w:spacing w:after="360" w:line="0" w:lineRule="atLeast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Balk10">
    <w:name w:val="Başlık #1"/>
    <w:basedOn w:val="Normal"/>
    <w:link w:val="Balk1"/>
    <w:rsid w:val="008931E0"/>
    <w:pPr>
      <w:shd w:val="clear" w:color="auto" w:fill="FFFFFF"/>
      <w:spacing w:before="360" w:line="355" w:lineRule="exact"/>
      <w:jc w:val="center"/>
      <w:outlineLvl w:val="0"/>
    </w:pPr>
    <w:rPr>
      <w:rFonts w:ascii="Arial Narrow" w:eastAsia="Arial Narrow" w:hAnsi="Arial Narrow" w:cs="Arial Narrow"/>
      <w:b/>
      <w:bCs/>
      <w:spacing w:val="-1"/>
      <w:sz w:val="32"/>
      <w:szCs w:val="32"/>
    </w:rPr>
  </w:style>
  <w:style w:type="paragraph" w:customStyle="1" w:styleId="Balk20">
    <w:name w:val="Başlık #2"/>
    <w:basedOn w:val="Normal"/>
    <w:link w:val="Balk2"/>
    <w:rsid w:val="008931E0"/>
    <w:pPr>
      <w:shd w:val="clear" w:color="auto" w:fill="FFFFFF"/>
      <w:spacing w:line="355" w:lineRule="exact"/>
      <w:jc w:val="center"/>
      <w:outlineLvl w:val="1"/>
    </w:pPr>
    <w:rPr>
      <w:rFonts w:ascii="Calibri" w:eastAsia="Calibri" w:hAnsi="Calibri" w:cs="Calibri"/>
      <w:b/>
      <w:bCs/>
      <w:spacing w:val="-2"/>
      <w:sz w:val="19"/>
      <w:szCs w:val="19"/>
    </w:rPr>
  </w:style>
  <w:style w:type="paragraph" w:customStyle="1" w:styleId="Gvdemetni0">
    <w:name w:val="Gövde metni"/>
    <w:basedOn w:val="Normal"/>
    <w:link w:val="Gvdemetni"/>
    <w:rsid w:val="008931E0"/>
    <w:pPr>
      <w:shd w:val="clear" w:color="auto" w:fill="FFFFFF"/>
      <w:spacing w:line="178" w:lineRule="exact"/>
      <w:jc w:val="both"/>
    </w:pPr>
    <w:rPr>
      <w:rFonts w:ascii="Arial Narrow" w:eastAsia="Arial Narrow" w:hAnsi="Arial Narrow" w:cs="Arial Narrow"/>
      <w:spacing w:val="3"/>
      <w:sz w:val="12"/>
      <w:szCs w:val="12"/>
    </w:rPr>
  </w:style>
  <w:style w:type="paragraph" w:customStyle="1" w:styleId="indekiler20">
    <w:name w:val="İçindekiler (2)"/>
    <w:basedOn w:val="Normal"/>
    <w:link w:val="indekiler2"/>
    <w:rsid w:val="008931E0"/>
    <w:pPr>
      <w:shd w:val="clear" w:color="auto" w:fill="FFFFFF"/>
      <w:spacing w:line="178" w:lineRule="exact"/>
      <w:jc w:val="both"/>
    </w:pPr>
    <w:rPr>
      <w:rFonts w:ascii="Arial Narrow" w:eastAsia="Arial Narrow" w:hAnsi="Arial Narrow" w:cs="Arial Narrow"/>
      <w:b/>
      <w:bCs/>
      <w:sz w:val="12"/>
      <w:szCs w:val="12"/>
    </w:rPr>
  </w:style>
  <w:style w:type="paragraph" w:customStyle="1" w:styleId="indekiler0">
    <w:name w:val="İçindekiler"/>
    <w:basedOn w:val="Normal"/>
    <w:link w:val="indekiler"/>
    <w:rsid w:val="008931E0"/>
    <w:pPr>
      <w:shd w:val="clear" w:color="auto" w:fill="FFFFFF"/>
      <w:spacing w:line="178" w:lineRule="exact"/>
      <w:jc w:val="both"/>
    </w:pPr>
    <w:rPr>
      <w:rFonts w:ascii="Arial Narrow" w:eastAsia="Arial Narrow" w:hAnsi="Arial Narrow" w:cs="Arial Narrow"/>
      <w:spacing w:val="3"/>
      <w:sz w:val="12"/>
      <w:szCs w:val="12"/>
    </w:rPr>
  </w:style>
  <w:style w:type="paragraph" w:customStyle="1" w:styleId="Gvdemetni30">
    <w:name w:val="Gövde metni (3)"/>
    <w:basedOn w:val="Normal"/>
    <w:link w:val="Gvdemetni3"/>
    <w:rsid w:val="008931E0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3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user</cp:lastModifiedBy>
  <cp:revision>3</cp:revision>
  <dcterms:created xsi:type="dcterms:W3CDTF">2013-02-08T07:40:00Z</dcterms:created>
  <dcterms:modified xsi:type="dcterms:W3CDTF">2013-04-08T06:51:00Z</dcterms:modified>
</cp:coreProperties>
</file>