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A30" w:rsidRDefault="00FA13C7">
      <w:pPr>
        <w:pStyle w:val="Balk10"/>
        <w:keepNext/>
        <w:keepLines/>
        <w:shd w:val="clear" w:color="auto" w:fill="auto"/>
        <w:spacing w:after="276" w:line="270" w:lineRule="exact"/>
        <w:ind w:left="220"/>
      </w:pPr>
      <w:bookmarkStart w:id="0" w:name="bookmark0"/>
      <w:r>
        <w:t>T.C. ANKARA İFLAS (21. İCRA) MÜDÜRLÜĞÜ</w:t>
      </w:r>
      <w:bookmarkEnd w:id="0"/>
    </w:p>
    <w:p w:rsidR="00AB7A30" w:rsidRDefault="00FA13C7">
      <w:pPr>
        <w:pStyle w:val="Gvdemetni0"/>
        <w:shd w:val="clear" w:color="auto" w:fill="auto"/>
        <w:spacing w:before="0"/>
        <w:ind w:left="40" w:right="420"/>
      </w:pPr>
      <w:r>
        <w:t>DOSYA NO: 2005/12 ÖRNEK NO: 27*</w:t>
      </w:r>
    </w:p>
    <w:p w:rsidR="00AB7A30" w:rsidRDefault="00FA13C7">
      <w:pPr>
        <w:pStyle w:val="Gvdemetni0"/>
        <w:shd w:val="clear" w:color="auto" w:fill="auto"/>
        <w:spacing w:before="0"/>
        <w:ind w:left="40"/>
      </w:pPr>
      <w:r>
        <w:t>TAŞINMAZIN AÇIK ARTIRMA İLÂNI</w:t>
      </w:r>
    </w:p>
    <w:p w:rsidR="00AB7A30" w:rsidRDefault="00FA13C7">
      <w:pPr>
        <w:pStyle w:val="Gvdemetni0"/>
        <w:shd w:val="clear" w:color="auto" w:fill="auto"/>
        <w:spacing w:before="0"/>
        <w:ind w:left="40"/>
      </w:pPr>
      <w:r>
        <w:t>Müflis Köy-Tür Entegre Tavukçuluk Sanayi ve Ticaret A.Ş.</w:t>
      </w:r>
    </w:p>
    <w:p w:rsidR="00AB7A30" w:rsidRDefault="00FA13C7">
      <w:pPr>
        <w:pStyle w:val="Gvdemetni0"/>
        <w:shd w:val="clear" w:color="auto" w:fill="auto"/>
        <w:spacing w:before="0"/>
        <w:ind w:left="40"/>
      </w:pPr>
      <w:r>
        <w:t>İflas idaresinden</w:t>
      </w:r>
    </w:p>
    <w:p w:rsidR="00AB7A30" w:rsidRDefault="00FA13C7">
      <w:pPr>
        <w:pStyle w:val="Gvdemetni0"/>
        <w:shd w:val="clear" w:color="auto" w:fill="auto"/>
        <w:spacing w:before="0"/>
        <w:ind w:left="40" w:right="20"/>
      </w:pPr>
      <w:r>
        <w:t xml:space="preserve">Satılmasına karar verilen taşınmazın cinsi, niteliği, kıymeti, adedi, önemli </w:t>
      </w:r>
      <w:r>
        <w:t>özellikleri ve satış şartları:</w:t>
      </w:r>
    </w:p>
    <w:p w:rsidR="00AB7A30" w:rsidRDefault="00FA13C7">
      <w:pPr>
        <w:pStyle w:val="Gvdemetni0"/>
        <w:numPr>
          <w:ilvl w:val="0"/>
          <w:numId w:val="1"/>
        </w:numPr>
        <w:shd w:val="clear" w:color="auto" w:fill="auto"/>
        <w:tabs>
          <w:tab w:val="left" w:pos="208"/>
        </w:tabs>
        <w:spacing w:before="0"/>
        <w:ind w:left="40" w:right="20"/>
      </w:pPr>
      <w:r>
        <w:t>Düzce ili, Akçakoca İlçesi, Paşalar Köyü, kalkanderesi mevkiinde kain 96 Parsel sayılı, 11.000,00 m2 yüzölçümlü 66.000,00 TL değerindeki fındık bahçesi niteliğindeki taşınmaz</w:t>
      </w:r>
    </w:p>
    <w:p w:rsidR="00AB7A30" w:rsidRDefault="00FA13C7">
      <w:pPr>
        <w:pStyle w:val="Gvdemetni0"/>
        <w:numPr>
          <w:ilvl w:val="0"/>
          <w:numId w:val="1"/>
        </w:numPr>
        <w:shd w:val="clear" w:color="auto" w:fill="auto"/>
        <w:tabs>
          <w:tab w:val="left" w:pos="702"/>
        </w:tabs>
        <w:spacing w:before="0"/>
        <w:ind w:left="40"/>
      </w:pPr>
      <w:r>
        <w:t>Ankara</w:t>
      </w:r>
      <w:r>
        <w:tab/>
        <w:t>İli, Kazan ilçesi, Yıldırım Beyazıt Mahalle</w:t>
      </w:r>
      <w:r>
        <w:t>sin de kain 2060 Ada, 1 Parsel sayılı,</w:t>
      </w:r>
    </w:p>
    <w:p w:rsidR="00AB7A30" w:rsidRDefault="00FA13C7">
      <w:pPr>
        <w:pStyle w:val="Gvdemetni0"/>
        <w:numPr>
          <w:ilvl w:val="0"/>
          <w:numId w:val="2"/>
        </w:numPr>
        <w:shd w:val="clear" w:color="auto" w:fill="auto"/>
        <w:tabs>
          <w:tab w:val="left" w:pos="722"/>
        </w:tabs>
        <w:spacing w:before="0"/>
        <w:ind w:left="40" w:right="20"/>
      </w:pPr>
      <w:r>
        <w:t>m2 yüzölçümlü 8.118.152,00.-TL değerindeki Yem fabrikası ve müştemilatından ibaret taşınmaz,</w:t>
      </w:r>
    </w:p>
    <w:p w:rsidR="00AB7A30" w:rsidRDefault="00FA13C7">
      <w:pPr>
        <w:pStyle w:val="Gvdemetni0"/>
        <w:numPr>
          <w:ilvl w:val="0"/>
          <w:numId w:val="1"/>
        </w:numPr>
        <w:shd w:val="clear" w:color="auto" w:fill="auto"/>
        <w:tabs>
          <w:tab w:val="left" w:pos="208"/>
        </w:tabs>
        <w:spacing w:before="0"/>
        <w:ind w:left="40"/>
      </w:pPr>
      <w:r>
        <w:t>4. Kayseri ili, Talaş ilçesi, Erciyes Köyü, Akçakaya mahallesine kain, 4427 parsel sayılı,</w:t>
      </w:r>
    </w:p>
    <w:p w:rsidR="00AB7A30" w:rsidRDefault="00FA13C7">
      <w:pPr>
        <w:pStyle w:val="Gvdemetni0"/>
        <w:numPr>
          <w:ilvl w:val="0"/>
          <w:numId w:val="3"/>
        </w:numPr>
        <w:shd w:val="clear" w:color="auto" w:fill="auto"/>
        <w:tabs>
          <w:tab w:val="left" w:pos="722"/>
        </w:tabs>
        <w:spacing w:before="0"/>
        <w:ind w:left="40" w:right="20"/>
      </w:pPr>
      <w:r>
        <w:t xml:space="preserve">m2 yüzölçümlü, 871,230,00.-TL </w:t>
      </w:r>
      <w:r>
        <w:t>değerindeki iki adet kümes ve idare binasından ibaret taşınmaz.</w:t>
      </w:r>
    </w:p>
    <w:p w:rsidR="00AB7A30" w:rsidRDefault="00FA13C7">
      <w:pPr>
        <w:pStyle w:val="Gvdemetni0"/>
        <w:numPr>
          <w:ilvl w:val="0"/>
          <w:numId w:val="1"/>
        </w:numPr>
        <w:shd w:val="clear" w:color="auto" w:fill="auto"/>
        <w:tabs>
          <w:tab w:val="left" w:pos="218"/>
        </w:tabs>
        <w:spacing w:before="0"/>
        <w:ind w:left="40" w:right="20"/>
      </w:pPr>
      <w:r>
        <w:t>Mersin ili, Tarsus ilçesi, Kürtmusa Köyü, kızılyer mevkiinde kain 1028 Parsel sayılı, 35.184,00 m2 yüzölçümlü 3.365.612,40 TL değerindeki 15 adet kümes, 1 adet idari bina, 4 adet lojman,</w:t>
      </w:r>
    </w:p>
    <w:p w:rsidR="00AB7A30" w:rsidRDefault="00FA13C7">
      <w:pPr>
        <w:pStyle w:val="Gvdemetni0"/>
        <w:shd w:val="clear" w:color="auto" w:fill="auto"/>
        <w:spacing w:before="0"/>
        <w:ind w:left="40" w:right="20"/>
      </w:pPr>
      <w:r>
        <w:t>1 ade</w:t>
      </w:r>
      <w:r>
        <w:t>t soyunma ve duş binası, 1 adet mekanik atölyesi, 1 adet 2 katlı yemekhane ve 1 adet yem deposundan ibaret taşınmaz,</w:t>
      </w:r>
    </w:p>
    <w:p w:rsidR="00AB7A30" w:rsidRDefault="00FA13C7">
      <w:pPr>
        <w:pStyle w:val="Gvdemetni0"/>
        <w:numPr>
          <w:ilvl w:val="0"/>
          <w:numId w:val="1"/>
        </w:numPr>
        <w:shd w:val="clear" w:color="auto" w:fill="auto"/>
        <w:tabs>
          <w:tab w:val="left" w:pos="213"/>
        </w:tabs>
        <w:spacing w:before="0"/>
        <w:ind w:left="40" w:right="120"/>
        <w:jc w:val="both"/>
      </w:pPr>
      <w:r>
        <w:t>Erzurum İli, Aşkale İlçesi, Küçükova Köyü, köyiçi mevkiinde kain, 101 Ada, 69 Parsel sayılı, 1439,89 m2 yüzölçümlü 50.000,00 TL değerindeki</w:t>
      </w:r>
      <w:r>
        <w:t xml:space="preserve"> arsa ve üzerindeki tavuk çiftliği binasından ibaret taşınmaz,</w:t>
      </w:r>
    </w:p>
    <w:tbl>
      <w:tblPr>
        <w:tblOverlap w:val="never"/>
        <w:tblW w:w="0" w:type="auto"/>
        <w:tblLayout w:type="fixed"/>
        <w:tblCellMar>
          <w:left w:w="10" w:type="dxa"/>
          <w:right w:w="10" w:type="dxa"/>
        </w:tblCellMar>
        <w:tblLook w:val="04A0"/>
      </w:tblPr>
      <w:tblGrid>
        <w:gridCol w:w="466"/>
        <w:gridCol w:w="845"/>
        <w:gridCol w:w="2246"/>
        <w:gridCol w:w="1118"/>
      </w:tblGrid>
      <w:tr w:rsidR="00AB7A30">
        <w:tblPrEx>
          <w:tblCellMar>
            <w:top w:w="0" w:type="dxa"/>
            <w:bottom w:w="0" w:type="dxa"/>
          </w:tblCellMar>
        </w:tblPrEx>
        <w:trPr>
          <w:trHeight w:hRule="exact" w:val="235"/>
        </w:trPr>
        <w:tc>
          <w:tcPr>
            <w:tcW w:w="466" w:type="dxa"/>
            <w:shd w:val="clear" w:color="auto" w:fill="FFFFFF"/>
          </w:tcPr>
          <w:p w:rsidR="00AB7A30" w:rsidRDefault="00FA13C7">
            <w:pPr>
              <w:pStyle w:val="Gvdemetni0"/>
              <w:framePr w:w="4675" w:wrap="notBeside" w:vAnchor="text" w:hAnchor="text" w:y="1"/>
              <w:shd w:val="clear" w:color="auto" w:fill="auto"/>
              <w:spacing w:before="0" w:line="170" w:lineRule="exact"/>
              <w:ind w:left="40"/>
            </w:pPr>
            <w:r>
              <w:rPr>
                <w:rStyle w:val="Gvdemetni1"/>
              </w:rPr>
              <w:t>S.NO</w:t>
            </w:r>
          </w:p>
        </w:tc>
        <w:tc>
          <w:tcPr>
            <w:tcW w:w="845" w:type="dxa"/>
            <w:shd w:val="clear" w:color="auto" w:fill="FFFFFF"/>
          </w:tcPr>
          <w:p w:rsidR="00AB7A30" w:rsidRDefault="00FA13C7">
            <w:pPr>
              <w:pStyle w:val="Gvdemetni0"/>
              <w:framePr w:w="4675" w:wrap="notBeside" w:vAnchor="text" w:hAnchor="text" w:y="1"/>
              <w:shd w:val="clear" w:color="auto" w:fill="auto"/>
              <w:spacing w:before="0" w:line="170" w:lineRule="exact"/>
              <w:ind w:left="120"/>
            </w:pPr>
            <w:r>
              <w:rPr>
                <w:rStyle w:val="Gvdemetni1"/>
              </w:rPr>
              <w:t>PARSEL</w:t>
            </w:r>
          </w:p>
        </w:tc>
        <w:tc>
          <w:tcPr>
            <w:tcW w:w="2246" w:type="dxa"/>
            <w:shd w:val="clear" w:color="auto" w:fill="FFFFFF"/>
          </w:tcPr>
          <w:p w:rsidR="00AB7A30" w:rsidRDefault="00FA13C7">
            <w:pPr>
              <w:pStyle w:val="Gvdemetni0"/>
              <w:framePr w:w="4675" w:wrap="notBeside" w:vAnchor="text" w:hAnchor="text" w:y="1"/>
              <w:shd w:val="clear" w:color="auto" w:fill="auto"/>
              <w:spacing w:before="0" w:line="170" w:lineRule="exact"/>
              <w:ind w:right="280"/>
              <w:jc w:val="right"/>
            </w:pPr>
            <w:r>
              <w:rPr>
                <w:rStyle w:val="Gvdemetni1"/>
              </w:rPr>
              <w:t>TAKDİR OLUNAN KIYMETİ</w:t>
            </w:r>
          </w:p>
        </w:tc>
        <w:tc>
          <w:tcPr>
            <w:tcW w:w="1118" w:type="dxa"/>
            <w:shd w:val="clear" w:color="auto" w:fill="FFFFFF"/>
          </w:tcPr>
          <w:p w:rsidR="00AB7A30" w:rsidRDefault="00FA13C7">
            <w:pPr>
              <w:pStyle w:val="Gvdemetni0"/>
              <w:framePr w:w="4675" w:wrap="notBeside" w:vAnchor="text" w:hAnchor="text" w:y="1"/>
              <w:shd w:val="clear" w:color="auto" w:fill="auto"/>
              <w:spacing w:before="0" w:line="170" w:lineRule="exact"/>
              <w:ind w:left="260"/>
            </w:pPr>
            <w:r>
              <w:rPr>
                <w:rStyle w:val="Gvdemetni1"/>
              </w:rPr>
              <w:t>SATIŞ SAATİ</w:t>
            </w:r>
          </w:p>
        </w:tc>
      </w:tr>
      <w:tr w:rsidR="00AB7A30">
        <w:tblPrEx>
          <w:tblCellMar>
            <w:top w:w="0" w:type="dxa"/>
            <w:bottom w:w="0" w:type="dxa"/>
          </w:tblCellMar>
        </w:tblPrEx>
        <w:trPr>
          <w:trHeight w:hRule="exact" w:val="206"/>
        </w:trPr>
        <w:tc>
          <w:tcPr>
            <w:tcW w:w="466" w:type="dxa"/>
            <w:shd w:val="clear" w:color="auto" w:fill="FFFFFF"/>
          </w:tcPr>
          <w:p w:rsidR="00AB7A30" w:rsidRDefault="00FA13C7">
            <w:pPr>
              <w:pStyle w:val="Gvdemetni0"/>
              <w:framePr w:w="4675" w:wrap="notBeside" w:vAnchor="text" w:hAnchor="text" w:y="1"/>
              <w:shd w:val="clear" w:color="auto" w:fill="auto"/>
              <w:spacing w:before="0" w:line="170" w:lineRule="exact"/>
              <w:ind w:left="40"/>
            </w:pPr>
            <w:r>
              <w:rPr>
                <w:rStyle w:val="Gvdemetni1"/>
              </w:rPr>
              <w:t>1.</w:t>
            </w:r>
          </w:p>
        </w:tc>
        <w:tc>
          <w:tcPr>
            <w:tcW w:w="845" w:type="dxa"/>
            <w:shd w:val="clear" w:color="auto" w:fill="FFFFFF"/>
          </w:tcPr>
          <w:p w:rsidR="00AB7A30" w:rsidRDefault="00FA13C7">
            <w:pPr>
              <w:pStyle w:val="Gvdemetni0"/>
              <w:framePr w:w="4675" w:wrap="notBeside" w:vAnchor="text" w:hAnchor="text" w:y="1"/>
              <w:shd w:val="clear" w:color="auto" w:fill="auto"/>
              <w:spacing w:before="0" w:line="170" w:lineRule="exact"/>
              <w:ind w:left="120"/>
            </w:pPr>
            <w:r>
              <w:rPr>
                <w:rStyle w:val="Gvdemetni1"/>
              </w:rPr>
              <w:t>96</w:t>
            </w:r>
          </w:p>
        </w:tc>
        <w:tc>
          <w:tcPr>
            <w:tcW w:w="2246" w:type="dxa"/>
            <w:shd w:val="clear" w:color="auto" w:fill="FFFFFF"/>
          </w:tcPr>
          <w:p w:rsidR="00AB7A30" w:rsidRDefault="00FA13C7">
            <w:pPr>
              <w:pStyle w:val="Gvdemetni0"/>
              <w:framePr w:w="4675" w:wrap="notBeside" w:vAnchor="text" w:hAnchor="text" w:y="1"/>
              <w:shd w:val="clear" w:color="auto" w:fill="auto"/>
              <w:spacing w:before="0" w:line="170" w:lineRule="exact"/>
              <w:ind w:right="280"/>
              <w:jc w:val="right"/>
            </w:pPr>
            <w:r>
              <w:rPr>
                <w:rStyle w:val="Gvdemetni1"/>
              </w:rPr>
              <w:t>66.000,00.-TL</w:t>
            </w:r>
          </w:p>
        </w:tc>
        <w:tc>
          <w:tcPr>
            <w:tcW w:w="1118" w:type="dxa"/>
            <w:shd w:val="clear" w:color="auto" w:fill="FFFFFF"/>
          </w:tcPr>
          <w:p w:rsidR="00AB7A30" w:rsidRDefault="00FA13C7">
            <w:pPr>
              <w:pStyle w:val="Gvdemetni0"/>
              <w:framePr w:w="4675" w:wrap="notBeside" w:vAnchor="text" w:hAnchor="text" w:y="1"/>
              <w:shd w:val="clear" w:color="auto" w:fill="auto"/>
              <w:spacing w:before="0" w:line="170" w:lineRule="exact"/>
              <w:ind w:right="100"/>
              <w:jc w:val="right"/>
            </w:pPr>
            <w:r>
              <w:rPr>
                <w:rStyle w:val="Gvdemetni1"/>
              </w:rPr>
              <w:t>10.30-10.45</w:t>
            </w:r>
          </w:p>
        </w:tc>
      </w:tr>
      <w:tr w:rsidR="00AB7A30">
        <w:tblPrEx>
          <w:tblCellMar>
            <w:top w:w="0" w:type="dxa"/>
            <w:bottom w:w="0" w:type="dxa"/>
          </w:tblCellMar>
        </w:tblPrEx>
        <w:trPr>
          <w:trHeight w:hRule="exact" w:val="216"/>
        </w:trPr>
        <w:tc>
          <w:tcPr>
            <w:tcW w:w="466" w:type="dxa"/>
            <w:shd w:val="clear" w:color="auto" w:fill="FFFFFF"/>
          </w:tcPr>
          <w:p w:rsidR="00AB7A30" w:rsidRDefault="00FA13C7">
            <w:pPr>
              <w:pStyle w:val="Gvdemetni0"/>
              <w:framePr w:w="4675" w:wrap="notBeside" w:vAnchor="text" w:hAnchor="text" w:y="1"/>
              <w:shd w:val="clear" w:color="auto" w:fill="auto"/>
              <w:spacing w:before="0" w:line="170" w:lineRule="exact"/>
              <w:ind w:left="40"/>
            </w:pPr>
            <w:r>
              <w:rPr>
                <w:rStyle w:val="Gvdemetni1"/>
              </w:rPr>
              <w:t>2.</w:t>
            </w:r>
          </w:p>
        </w:tc>
        <w:tc>
          <w:tcPr>
            <w:tcW w:w="845" w:type="dxa"/>
            <w:shd w:val="clear" w:color="auto" w:fill="FFFFFF"/>
          </w:tcPr>
          <w:p w:rsidR="00AB7A30" w:rsidRDefault="00FA13C7">
            <w:pPr>
              <w:pStyle w:val="Gvdemetni0"/>
              <w:framePr w:w="4675" w:wrap="notBeside" w:vAnchor="text" w:hAnchor="text" w:y="1"/>
              <w:shd w:val="clear" w:color="auto" w:fill="auto"/>
              <w:spacing w:before="0" w:line="170" w:lineRule="exact"/>
              <w:ind w:left="120"/>
            </w:pPr>
            <w:r>
              <w:rPr>
                <w:rStyle w:val="Gvdemetni1"/>
              </w:rPr>
              <w:t>1</w:t>
            </w:r>
          </w:p>
        </w:tc>
        <w:tc>
          <w:tcPr>
            <w:tcW w:w="2246" w:type="dxa"/>
            <w:shd w:val="clear" w:color="auto" w:fill="FFFFFF"/>
          </w:tcPr>
          <w:p w:rsidR="00AB7A30" w:rsidRDefault="00FA13C7">
            <w:pPr>
              <w:pStyle w:val="Gvdemetni0"/>
              <w:framePr w:w="4675" w:wrap="notBeside" w:vAnchor="text" w:hAnchor="text" w:y="1"/>
              <w:shd w:val="clear" w:color="auto" w:fill="auto"/>
              <w:spacing w:before="0" w:line="170" w:lineRule="exact"/>
              <w:ind w:right="280"/>
              <w:jc w:val="right"/>
            </w:pPr>
            <w:r>
              <w:rPr>
                <w:rStyle w:val="Gvdemetni1"/>
              </w:rPr>
              <w:t>8.118.152,00.-TL</w:t>
            </w:r>
          </w:p>
        </w:tc>
        <w:tc>
          <w:tcPr>
            <w:tcW w:w="1118" w:type="dxa"/>
            <w:shd w:val="clear" w:color="auto" w:fill="FFFFFF"/>
          </w:tcPr>
          <w:p w:rsidR="00AB7A30" w:rsidRDefault="00FA13C7">
            <w:pPr>
              <w:pStyle w:val="Gvdemetni0"/>
              <w:framePr w:w="4675" w:wrap="notBeside" w:vAnchor="text" w:hAnchor="text" w:y="1"/>
              <w:shd w:val="clear" w:color="auto" w:fill="auto"/>
              <w:spacing w:before="0" w:line="170" w:lineRule="exact"/>
              <w:ind w:left="260"/>
            </w:pPr>
            <w:r>
              <w:rPr>
                <w:rStyle w:val="Gvdemetni1"/>
              </w:rPr>
              <w:t>10.45-11.00</w:t>
            </w:r>
          </w:p>
        </w:tc>
      </w:tr>
      <w:tr w:rsidR="00AB7A30">
        <w:tblPrEx>
          <w:tblCellMar>
            <w:top w:w="0" w:type="dxa"/>
            <w:bottom w:w="0" w:type="dxa"/>
          </w:tblCellMar>
        </w:tblPrEx>
        <w:trPr>
          <w:trHeight w:hRule="exact" w:val="211"/>
        </w:trPr>
        <w:tc>
          <w:tcPr>
            <w:tcW w:w="466" w:type="dxa"/>
            <w:shd w:val="clear" w:color="auto" w:fill="FFFFFF"/>
          </w:tcPr>
          <w:p w:rsidR="00AB7A30" w:rsidRDefault="00FA13C7">
            <w:pPr>
              <w:pStyle w:val="Gvdemetni0"/>
              <w:framePr w:w="4675" w:wrap="notBeside" w:vAnchor="text" w:hAnchor="text" w:y="1"/>
              <w:shd w:val="clear" w:color="auto" w:fill="auto"/>
              <w:spacing w:before="0" w:line="170" w:lineRule="exact"/>
              <w:ind w:left="40"/>
            </w:pPr>
            <w:r>
              <w:rPr>
                <w:rStyle w:val="Gvdemetni1"/>
              </w:rPr>
              <w:t>3.</w:t>
            </w:r>
          </w:p>
        </w:tc>
        <w:tc>
          <w:tcPr>
            <w:tcW w:w="845" w:type="dxa"/>
            <w:shd w:val="clear" w:color="auto" w:fill="FFFFFF"/>
          </w:tcPr>
          <w:p w:rsidR="00AB7A30" w:rsidRDefault="00FA13C7">
            <w:pPr>
              <w:pStyle w:val="Gvdemetni0"/>
              <w:framePr w:w="4675" w:wrap="notBeside" w:vAnchor="text" w:hAnchor="text" w:y="1"/>
              <w:shd w:val="clear" w:color="auto" w:fill="auto"/>
              <w:spacing w:before="0" w:line="170" w:lineRule="exact"/>
              <w:ind w:left="120"/>
            </w:pPr>
            <w:r>
              <w:rPr>
                <w:rStyle w:val="Gvdemetni1"/>
              </w:rPr>
              <w:t>4427</w:t>
            </w:r>
          </w:p>
        </w:tc>
        <w:tc>
          <w:tcPr>
            <w:tcW w:w="2246" w:type="dxa"/>
            <w:shd w:val="clear" w:color="auto" w:fill="FFFFFF"/>
          </w:tcPr>
          <w:p w:rsidR="00AB7A30" w:rsidRDefault="00FA13C7">
            <w:pPr>
              <w:pStyle w:val="Gvdemetni0"/>
              <w:framePr w:w="4675" w:wrap="notBeside" w:vAnchor="text" w:hAnchor="text" w:y="1"/>
              <w:shd w:val="clear" w:color="auto" w:fill="auto"/>
              <w:spacing w:before="0" w:line="170" w:lineRule="exact"/>
              <w:ind w:right="280"/>
              <w:jc w:val="right"/>
            </w:pPr>
            <w:r>
              <w:rPr>
                <w:rStyle w:val="Gvdemetni1"/>
              </w:rPr>
              <w:t>871.230,00.-TL</w:t>
            </w:r>
          </w:p>
        </w:tc>
        <w:tc>
          <w:tcPr>
            <w:tcW w:w="1118" w:type="dxa"/>
            <w:shd w:val="clear" w:color="auto" w:fill="FFFFFF"/>
          </w:tcPr>
          <w:p w:rsidR="00AB7A30" w:rsidRDefault="00FA13C7">
            <w:pPr>
              <w:pStyle w:val="Gvdemetni0"/>
              <w:framePr w:w="4675" w:wrap="notBeside" w:vAnchor="text" w:hAnchor="text" w:y="1"/>
              <w:shd w:val="clear" w:color="auto" w:fill="auto"/>
              <w:spacing w:before="0" w:line="170" w:lineRule="exact"/>
              <w:ind w:left="260"/>
            </w:pPr>
            <w:r>
              <w:rPr>
                <w:rStyle w:val="Gvdemetni1"/>
              </w:rPr>
              <w:t>11.00-11.15</w:t>
            </w:r>
          </w:p>
        </w:tc>
      </w:tr>
      <w:tr w:rsidR="00AB7A30">
        <w:tblPrEx>
          <w:tblCellMar>
            <w:top w:w="0" w:type="dxa"/>
            <w:bottom w:w="0" w:type="dxa"/>
          </w:tblCellMar>
        </w:tblPrEx>
        <w:trPr>
          <w:trHeight w:hRule="exact" w:val="211"/>
        </w:trPr>
        <w:tc>
          <w:tcPr>
            <w:tcW w:w="466" w:type="dxa"/>
            <w:shd w:val="clear" w:color="auto" w:fill="FFFFFF"/>
          </w:tcPr>
          <w:p w:rsidR="00AB7A30" w:rsidRDefault="00FA13C7">
            <w:pPr>
              <w:pStyle w:val="Gvdemetni0"/>
              <w:framePr w:w="4675" w:wrap="notBeside" w:vAnchor="text" w:hAnchor="text" w:y="1"/>
              <w:shd w:val="clear" w:color="auto" w:fill="auto"/>
              <w:spacing w:before="0" w:line="170" w:lineRule="exact"/>
              <w:ind w:left="40"/>
            </w:pPr>
            <w:r>
              <w:rPr>
                <w:rStyle w:val="Gvdemetni1"/>
              </w:rPr>
              <w:t>4.</w:t>
            </w:r>
          </w:p>
        </w:tc>
        <w:tc>
          <w:tcPr>
            <w:tcW w:w="845" w:type="dxa"/>
            <w:shd w:val="clear" w:color="auto" w:fill="FFFFFF"/>
          </w:tcPr>
          <w:p w:rsidR="00AB7A30" w:rsidRDefault="00FA13C7">
            <w:pPr>
              <w:pStyle w:val="Gvdemetni0"/>
              <w:framePr w:w="4675" w:wrap="notBeside" w:vAnchor="text" w:hAnchor="text" w:y="1"/>
              <w:shd w:val="clear" w:color="auto" w:fill="auto"/>
              <w:spacing w:before="0" w:line="170" w:lineRule="exact"/>
              <w:ind w:left="120"/>
            </w:pPr>
            <w:r>
              <w:rPr>
                <w:rStyle w:val="Gvdemetni1"/>
              </w:rPr>
              <w:t>1028</w:t>
            </w:r>
          </w:p>
        </w:tc>
        <w:tc>
          <w:tcPr>
            <w:tcW w:w="2246" w:type="dxa"/>
            <w:shd w:val="clear" w:color="auto" w:fill="FFFFFF"/>
          </w:tcPr>
          <w:p w:rsidR="00AB7A30" w:rsidRDefault="00FA13C7">
            <w:pPr>
              <w:pStyle w:val="Gvdemetni0"/>
              <w:framePr w:w="4675" w:wrap="notBeside" w:vAnchor="text" w:hAnchor="text" w:y="1"/>
              <w:shd w:val="clear" w:color="auto" w:fill="auto"/>
              <w:spacing w:before="0" w:line="170" w:lineRule="exact"/>
              <w:ind w:right="280"/>
              <w:jc w:val="right"/>
            </w:pPr>
            <w:r>
              <w:rPr>
                <w:rStyle w:val="Gvdemetni1"/>
              </w:rPr>
              <w:t>3.365.612,40.-TL</w:t>
            </w:r>
          </w:p>
        </w:tc>
        <w:tc>
          <w:tcPr>
            <w:tcW w:w="1118" w:type="dxa"/>
            <w:shd w:val="clear" w:color="auto" w:fill="FFFFFF"/>
          </w:tcPr>
          <w:p w:rsidR="00AB7A30" w:rsidRDefault="00FA13C7">
            <w:pPr>
              <w:pStyle w:val="Gvdemetni0"/>
              <w:framePr w:w="4675" w:wrap="notBeside" w:vAnchor="text" w:hAnchor="text" w:y="1"/>
              <w:shd w:val="clear" w:color="auto" w:fill="auto"/>
              <w:spacing w:before="0" w:line="170" w:lineRule="exact"/>
              <w:ind w:left="260"/>
            </w:pPr>
            <w:r>
              <w:rPr>
                <w:rStyle w:val="Gvdemetni1"/>
              </w:rPr>
              <w:t>11.15-11.30</w:t>
            </w:r>
          </w:p>
        </w:tc>
      </w:tr>
      <w:tr w:rsidR="00AB7A30">
        <w:tblPrEx>
          <w:tblCellMar>
            <w:top w:w="0" w:type="dxa"/>
            <w:bottom w:w="0" w:type="dxa"/>
          </w:tblCellMar>
        </w:tblPrEx>
        <w:trPr>
          <w:trHeight w:hRule="exact" w:val="230"/>
        </w:trPr>
        <w:tc>
          <w:tcPr>
            <w:tcW w:w="466" w:type="dxa"/>
            <w:shd w:val="clear" w:color="auto" w:fill="FFFFFF"/>
          </w:tcPr>
          <w:p w:rsidR="00AB7A30" w:rsidRDefault="00FA13C7">
            <w:pPr>
              <w:pStyle w:val="Gvdemetni0"/>
              <w:framePr w:w="4675" w:wrap="notBeside" w:vAnchor="text" w:hAnchor="text" w:y="1"/>
              <w:shd w:val="clear" w:color="auto" w:fill="auto"/>
              <w:spacing w:before="0" w:line="170" w:lineRule="exact"/>
              <w:ind w:left="40"/>
            </w:pPr>
            <w:r>
              <w:rPr>
                <w:rStyle w:val="Gvdemetni1"/>
              </w:rPr>
              <w:t>5.</w:t>
            </w:r>
          </w:p>
        </w:tc>
        <w:tc>
          <w:tcPr>
            <w:tcW w:w="845" w:type="dxa"/>
            <w:shd w:val="clear" w:color="auto" w:fill="FFFFFF"/>
          </w:tcPr>
          <w:p w:rsidR="00AB7A30" w:rsidRDefault="00FA13C7">
            <w:pPr>
              <w:pStyle w:val="Gvdemetni0"/>
              <w:framePr w:w="4675" w:wrap="notBeside" w:vAnchor="text" w:hAnchor="text" w:y="1"/>
              <w:shd w:val="clear" w:color="auto" w:fill="auto"/>
              <w:spacing w:before="0" w:line="170" w:lineRule="exact"/>
              <w:ind w:left="120"/>
            </w:pPr>
            <w:r>
              <w:rPr>
                <w:rStyle w:val="Gvdemetni1"/>
              </w:rPr>
              <w:t>69</w:t>
            </w:r>
          </w:p>
        </w:tc>
        <w:tc>
          <w:tcPr>
            <w:tcW w:w="2246" w:type="dxa"/>
            <w:shd w:val="clear" w:color="auto" w:fill="FFFFFF"/>
          </w:tcPr>
          <w:p w:rsidR="00AB7A30" w:rsidRDefault="00FA13C7">
            <w:pPr>
              <w:pStyle w:val="Gvdemetni0"/>
              <w:framePr w:w="4675" w:wrap="notBeside" w:vAnchor="text" w:hAnchor="text" w:y="1"/>
              <w:shd w:val="clear" w:color="auto" w:fill="auto"/>
              <w:spacing w:before="0" w:line="170" w:lineRule="exact"/>
              <w:ind w:right="280"/>
              <w:jc w:val="right"/>
            </w:pPr>
            <w:r>
              <w:rPr>
                <w:rStyle w:val="Gvdemetni1"/>
              </w:rPr>
              <w:t>50.000,00.-TL</w:t>
            </w:r>
          </w:p>
        </w:tc>
        <w:tc>
          <w:tcPr>
            <w:tcW w:w="1118" w:type="dxa"/>
            <w:shd w:val="clear" w:color="auto" w:fill="FFFFFF"/>
          </w:tcPr>
          <w:p w:rsidR="00AB7A30" w:rsidRDefault="00FA13C7">
            <w:pPr>
              <w:pStyle w:val="Gvdemetni0"/>
              <w:framePr w:w="4675" w:wrap="notBeside" w:vAnchor="text" w:hAnchor="text" w:y="1"/>
              <w:shd w:val="clear" w:color="auto" w:fill="auto"/>
              <w:spacing w:before="0" w:line="170" w:lineRule="exact"/>
              <w:ind w:left="260"/>
            </w:pPr>
            <w:r>
              <w:rPr>
                <w:rStyle w:val="Gvdemetni1"/>
              </w:rPr>
              <w:t>11.30-11.45</w:t>
            </w:r>
          </w:p>
        </w:tc>
      </w:tr>
    </w:tbl>
    <w:p w:rsidR="00AB7A30" w:rsidRDefault="00AB7A30">
      <w:pPr>
        <w:rPr>
          <w:sz w:val="2"/>
          <w:szCs w:val="2"/>
        </w:rPr>
      </w:pPr>
    </w:p>
    <w:p w:rsidR="00AB7A30" w:rsidRDefault="00FA13C7">
      <w:pPr>
        <w:pStyle w:val="Gvdemetni0"/>
        <w:shd w:val="clear" w:color="auto" w:fill="auto"/>
        <w:spacing w:before="0"/>
        <w:ind w:left="40" w:right="20"/>
      </w:pPr>
      <w:r>
        <w:t xml:space="preserve">1 - Satış 20.07.2012 tarihinde yukarıda belirtilen saatlerde 8. Cad. 14/10 Aşağı Ûveçler-ANKARA adresinde açık artırma suretiyle yapılacaktır. Bu artırmada tahmin edilen değerin % 60'ını ve rüçhanlı alacaklılar varsa </w:t>
      </w:r>
      <w:r>
        <w:t>alacakları toplamını ve satış giderlerini geçmek şartı ile ihale olunur. Böyle bir bedelle alıcı çıkmazsa en çok artıranın taahhüdü saklı kalmak şartıyla 30.07.2012 günü yukarıda belirtilen saatlerde ve aynı adres de ikinci artırmaya çıkarılacaktır. Bu art</w:t>
      </w:r>
      <w:r>
        <w:t>ırmada da bu miktar elde edilmemiş ise taşınmaz en çok arttıranın taahhüdü baki kalmak üzere artırma ilanında gösterilen müddet sonunda en çok arttırana ihale edilecektir. Şu kadarki arttırma bedelinin malın muhammen bedelinin %40'ını bulması ve satış iste</w:t>
      </w:r>
      <w:r>
        <w:t>yenin alacağına rüçhanı olan alacaklılarının toplamından fazla olması ve bundan başka paraya çevirme ve paylaştırma masraflarını geçmesi şartıyla en çok artırana ihale olunur. Böyle bir bedelle alıcı çıkmaz ise satış talebi düşecektir.</w:t>
      </w:r>
    </w:p>
    <w:p w:rsidR="00AB7A30" w:rsidRDefault="00FA13C7">
      <w:pPr>
        <w:pStyle w:val="Gvdemetni0"/>
        <w:numPr>
          <w:ilvl w:val="0"/>
          <w:numId w:val="4"/>
        </w:numPr>
        <w:shd w:val="clear" w:color="auto" w:fill="auto"/>
        <w:tabs>
          <w:tab w:val="left" w:pos="198"/>
        </w:tabs>
        <w:spacing w:before="0"/>
        <w:ind w:left="40" w:right="20"/>
      </w:pPr>
      <w:r>
        <w:t>Artırmaya iştirak ed</w:t>
      </w:r>
      <w:r>
        <w:t>eceklerin, takdir edilen değerin % 20'si oranında pey akçesi veya bu miktar kadar banka teminat mektubu vermeleri lâzımdır. Satış peşin para iledir, alıcı istediğinde (10) günü geçmemek üzere süre verilebilir. Taşınmazlar KDV Kanunun m 17/4-r uyarınca Katm</w:t>
      </w:r>
      <w:r>
        <w:t>a Değer Vergisinden muaftır. Tellaliye resmi, damga vergisi, tapu harç ve masrafları alıcıya aittir. Tahliye ve teslim giderleri alıcıya aittir. Birikmiş vergiler satış bedelinden ödenir.</w:t>
      </w:r>
    </w:p>
    <w:p w:rsidR="00AB7A30" w:rsidRDefault="00FA13C7">
      <w:pPr>
        <w:pStyle w:val="Gvdemetni0"/>
        <w:numPr>
          <w:ilvl w:val="0"/>
          <w:numId w:val="4"/>
        </w:numPr>
        <w:shd w:val="clear" w:color="auto" w:fill="auto"/>
        <w:tabs>
          <w:tab w:val="left" w:pos="218"/>
        </w:tabs>
        <w:spacing w:before="0"/>
        <w:ind w:left="40" w:right="20"/>
      </w:pPr>
      <w:r>
        <w:t>ipotek sahibi alacaklılarla diğer ilgilerin (*), varsa irtifak hakkı</w:t>
      </w:r>
      <w:r>
        <w:t xml:space="preserve"> sahipleri de dahil olmak üzere bu gayrimenkul üzerindeki haklarını özellikle faiz ve giderlere dair olan iddialarını dayanağı belgeler ile (15) gün içinde dairemize bildirmeleri lazımdır; aksi takdirde hakları tapu sicil ile sabit olmadıkça paylaşmadan ha</w:t>
      </w:r>
      <w:r>
        <w:t>riç bırakılacaktır.</w:t>
      </w:r>
    </w:p>
    <w:p w:rsidR="00AB7A30" w:rsidRDefault="00FA13C7">
      <w:pPr>
        <w:pStyle w:val="Gvdemetni0"/>
        <w:numPr>
          <w:ilvl w:val="0"/>
          <w:numId w:val="4"/>
        </w:numPr>
        <w:shd w:val="clear" w:color="auto" w:fill="auto"/>
        <w:tabs>
          <w:tab w:val="left" w:pos="213"/>
        </w:tabs>
        <w:spacing w:before="0"/>
        <w:ind w:left="40" w:right="20"/>
      </w:pPr>
      <w:r>
        <w:t>Satış bedeli hemen veya verilen mühlet içinde ödenmezse icra ve İflas Kanununun 133 üncü maddesi gereğince ihale feshedilir. İki ihale arasındaki farktan ve %10 faizden alıcı ve kefilleri mesul tutulacak ve hiçbir hükme hacet kalmadan k</w:t>
      </w:r>
      <w:r>
        <w:t>endilerinden tahsil edilecektir.</w:t>
      </w:r>
    </w:p>
    <w:p w:rsidR="00AB7A30" w:rsidRDefault="00FA13C7">
      <w:pPr>
        <w:pStyle w:val="Gvdemetni0"/>
        <w:numPr>
          <w:ilvl w:val="0"/>
          <w:numId w:val="4"/>
        </w:numPr>
        <w:shd w:val="clear" w:color="auto" w:fill="auto"/>
        <w:tabs>
          <w:tab w:val="left" w:pos="213"/>
        </w:tabs>
        <w:spacing w:before="0"/>
        <w:ind w:left="40" w:right="20"/>
      </w:pPr>
      <w:r>
        <w:t>Şartname, ilân tarihinden itibaren herkesin görebilmesi için dairede açık olup gideri verildiği takdirde isteyen alıcıya bir örneği gönderilebilir.</w:t>
      </w:r>
    </w:p>
    <w:p w:rsidR="00AB7A30" w:rsidRDefault="00FA13C7">
      <w:pPr>
        <w:pStyle w:val="Gvdemetni0"/>
        <w:numPr>
          <w:ilvl w:val="0"/>
          <w:numId w:val="4"/>
        </w:numPr>
        <w:shd w:val="clear" w:color="auto" w:fill="auto"/>
        <w:tabs>
          <w:tab w:val="left" w:pos="208"/>
        </w:tabs>
        <w:spacing w:before="0"/>
        <w:ind w:left="40" w:right="20"/>
      </w:pPr>
      <w:r>
        <w:t xml:space="preserve">Satışı iştirak edenlerin şartnameyi görmüş ve münderecatını kabul etmiş </w:t>
      </w:r>
      <w:r>
        <w:t>sayılacakları, başkaca bilgi almak isteyenlerin 2005/12 sayılı dosya numarasıyla müdürlüğümüze başvurmaları ilân olunur.</w:t>
      </w:r>
    </w:p>
    <w:p w:rsidR="00AB7A30" w:rsidRDefault="00FA13C7">
      <w:pPr>
        <w:pStyle w:val="Gvdemetni0"/>
        <w:shd w:val="clear" w:color="auto" w:fill="auto"/>
        <w:spacing w:before="0"/>
        <w:ind w:left="40"/>
      </w:pPr>
      <w:r>
        <w:t>(İİK m. 126)</w:t>
      </w:r>
    </w:p>
    <w:p w:rsidR="00AB7A30" w:rsidRDefault="00FA13C7">
      <w:pPr>
        <w:pStyle w:val="Gvdemetni0"/>
        <w:shd w:val="clear" w:color="auto" w:fill="auto"/>
        <w:spacing w:before="0"/>
        <w:ind w:left="40"/>
      </w:pPr>
      <w:r>
        <w:t>(*) ilgililer tabirine irtifak hakkı sahipleri de dahildir.</w:t>
      </w:r>
    </w:p>
    <w:p w:rsidR="00AB7A30" w:rsidRDefault="00FA13C7">
      <w:pPr>
        <w:pStyle w:val="Gvdemetni0"/>
        <w:shd w:val="clear" w:color="auto" w:fill="auto"/>
        <w:tabs>
          <w:tab w:val="left" w:pos="5570"/>
        </w:tabs>
        <w:spacing w:before="0"/>
        <w:ind w:left="40" w:right="20"/>
      </w:pPr>
      <w:r>
        <w:t xml:space="preserve">Bu örnek, bu Yönetmelikten önceki uygulamada kullanılan Örnek </w:t>
      </w:r>
      <w:r>
        <w:t>64'e karşılık gelmektedir.</w:t>
      </w:r>
      <w:r>
        <w:tab/>
      </w:r>
      <w:r>
        <w:rPr>
          <w:rStyle w:val="GvdemetniKaln"/>
        </w:rPr>
        <w:t xml:space="preserve">B: </w:t>
      </w:r>
      <w:r>
        <w:t>37241</w:t>
      </w:r>
    </w:p>
    <w:p w:rsidR="00AB7A30" w:rsidRDefault="00FA13C7">
      <w:pPr>
        <w:pStyle w:val="Gvdemetni20"/>
        <w:shd w:val="clear" w:color="auto" w:fill="auto"/>
        <w:ind w:right="20"/>
      </w:pPr>
      <w:r>
        <w:rPr>
          <w:rStyle w:val="Gvdemetni2KalnDeil0ptbolukbraklyor"/>
        </w:rPr>
        <w:t xml:space="preserve">Resmi ilanlar </w:t>
      </w:r>
      <w:r>
        <w:t>www.ilan.gov.tr'de</w:t>
      </w:r>
      <w:r>
        <w:rPr>
          <w:lang w:val="en-US"/>
        </w:rPr>
        <w:t>(</w:t>
      </w:r>
      <w:hyperlink r:id="rId7" w:history="1">
        <w:r>
          <w:rPr>
            <w:rStyle w:val="Kpr"/>
            <w:lang w:val="en-US"/>
          </w:rPr>
          <w:t>www.bik.gov.tr</w:t>
        </w:r>
      </w:hyperlink>
      <w:r>
        <w:rPr>
          <w:lang w:val="en-US"/>
        </w:rPr>
        <w:t>)</w:t>
      </w:r>
    </w:p>
    <w:sectPr w:rsidR="00AB7A30" w:rsidSect="00AB7A30">
      <w:type w:val="continuous"/>
      <w:pgSz w:w="11909" w:h="16838"/>
      <w:pgMar w:top="1423" w:right="2887" w:bottom="1365" w:left="286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3C7" w:rsidRDefault="00FA13C7" w:rsidP="00AB7A30">
      <w:r>
        <w:separator/>
      </w:r>
    </w:p>
  </w:endnote>
  <w:endnote w:type="continuationSeparator" w:id="1">
    <w:p w:rsidR="00FA13C7" w:rsidRDefault="00FA13C7" w:rsidP="00AB7A30">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A2"/>
    <w:family w:val="swiss"/>
    <w:pitch w:val="variable"/>
    <w:sig w:usb0="00000287" w:usb1="00000800" w:usb2="00000000" w:usb3="00000000" w:csb0="0000009F" w:csb1="00000000"/>
  </w:font>
  <w:font w:name="Courier New">
    <w:panose1 w:val="02070309020205020404"/>
    <w:charset w:val="A2"/>
    <w:family w:val="modern"/>
    <w:pitch w:val="fixed"/>
    <w:sig w:usb0="20002A87" w:usb1="80000000" w:usb2="00000008" w:usb3="00000000" w:csb0="000001F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3C7" w:rsidRDefault="00FA13C7"/>
  </w:footnote>
  <w:footnote w:type="continuationSeparator" w:id="1">
    <w:p w:rsidR="00FA13C7" w:rsidRDefault="00FA13C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25B46"/>
    <w:multiLevelType w:val="multilevel"/>
    <w:tmpl w:val="AB66EF44"/>
    <w:lvl w:ilvl="0">
      <w:numFmt w:val="decimal"/>
      <w:lvlText w:val="10.350.%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2CD2C34"/>
    <w:multiLevelType w:val="multilevel"/>
    <w:tmpl w:val="1D3E557C"/>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D9861B1"/>
    <w:multiLevelType w:val="multilevel"/>
    <w:tmpl w:val="3606F8F2"/>
    <w:lvl w:ilvl="0">
      <w:start w:val="2"/>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98B186D"/>
    <w:multiLevelType w:val="multilevel"/>
    <w:tmpl w:val="8092EBF8"/>
    <w:lvl w:ilvl="0">
      <w:numFmt w:val="decimal"/>
      <w:lvlText w:val="16.600.%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AB7A30"/>
    <w:rsid w:val="008A53EE"/>
    <w:rsid w:val="00AB7A30"/>
    <w:rsid w:val="00FA13C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B7A30"/>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AB7A30"/>
    <w:rPr>
      <w:color w:val="000080"/>
      <w:u w:val="single"/>
    </w:rPr>
  </w:style>
  <w:style w:type="character" w:customStyle="1" w:styleId="Balk1">
    <w:name w:val="Başlık #1_"/>
    <w:basedOn w:val="VarsaylanParagrafYazTipi"/>
    <w:link w:val="Balk10"/>
    <w:rsid w:val="00AB7A30"/>
    <w:rPr>
      <w:rFonts w:ascii="Arial Narrow" w:eastAsia="Arial Narrow" w:hAnsi="Arial Narrow" w:cs="Arial Narrow"/>
      <w:b/>
      <w:bCs/>
      <w:i w:val="0"/>
      <w:iCs w:val="0"/>
      <w:smallCaps w:val="0"/>
      <w:strike w:val="0"/>
      <w:sz w:val="27"/>
      <w:szCs w:val="27"/>
      <w:u w:val="none"/>
    </w:rPr>
  </w:style>
  <w:style w:type="character" w:customStyle="1" w:styleId="Gvdemetni">
    <w:name w:val="Gövde metni_"/>
    <w:basedOn w:val="VarsaylanParagrafYazTipi"/>
    <w:link w:val="Gvdemetni0"/>
    <w:rsid w:val="00AB7A30"/>
    <w:rPr>
      <w:rFonts w:ascii="Arial Narrow" w:eastAsia="Arial Narrow" w:hAnsi="Arial Narrow" w:cs="Arial Narrow"/>
      <w:b w:val="0"/>
      <w:bCs w:val="0"/>
      <w:i w:val="0"/>
      <w:iCs w:val="0"/>
      <w:smallCaps w:val="0"/>
      <w:strike w:val="0"/>
      <w:sz w:val="17"/>
      <w:szCs w:val="17"/>
      <w:u w:val="none"/>
    </w:rPr>
  </w:style>
  <w:style w:type="character" w:customStyle="1" w:styleId="Gvdemetni1">
    <w:name w:val="Gövde metni"/>
    <w:basedOn w:val="Gvdemetni"/>
    <w:rsid w:val="00AB7A30"/>
    <w:rPr>
      <w:color w:val="000000"/>
      <w:spacing w:val="0"/>
      <w:w w:val="100"/>
      <w:position w:val="0"/>
      <w:lang w:val="tr-TR"/>
    </w:rPr>
  </w:style>
  <w:style w:type="character" w:customStyle="1" w:styleId="GvdemetniKaln">
    <w:name w:val="Gövde metni + Kalın"/>
    <w:basedOn w:val="Gvdemetni"/>
    <w:rsid w:val="00AB7A30"/>
    <w:rPr>
      <w:b/>
      <w:bCs/>
      <w:color w:val="000000"/>
      <w:spacing w:val="0"/>
      <w:w w:val="100"/>
      <w:position w:val="0"/>
      <w:lang w:val="tr-TR"/>
    </w:rPr>
  </w:style>
  <w:style w:type="character" w:customStyle="1" w:styleId="Gvdemetni2">
    <w:name w:val="Gövde metni (2)_"/>
    <w:basedOn w:val="VarsaylanParagrafYazTipi"/>
    <w:link w:val="Gvdemetni20"/>
    <w:rsid w:val="00AB7A30"/>
    <w:rPr>
      <w:rFonts w:ascii="Arial Narrow" w:eastAsia="Arial Narrow" w:hAnsi="Arial Narrow" w:cs="Arial Narrow"/>
      <w:b/>
      <w:bCs/>
      <w:i w:val="0"/>
      <w:iCs w:val="0"/>
      <w:smallCaps w:val="0"/>
      <w:strike w:val="0"/>
      <w:spacing w:val="30"/>
      <w:sz w:val="17"/>
      <w:szCs w:val="17"/>
      <w:u w:val="none"/>
    </w:rPr>
  </w:style>
  <w:style w:type="character" w:customStyle="1" w:styleId="Gvdemetni2KalnDeil0ptbolukbraklyor">
    <w:name w:val="Gövde metni (2) + Kalın Değil;0 pt boşluk bırakılıyor"/>
    <w:basedOn w:val="Gvdemetni2"/>
    <w:rsid w:val="00AB7A30"/>
    <w:rPr>
      <w:b/>
      <w:bCs/>
      <w:color w:val="000000"/>
      <w:spacing w:val="0"/>
      <w:w w:val="100"/>
      <w:position w:val="0"/>
      <w:lang w:val="tr-TR"/>
    </w:rPr>
  </w:style>
  <w:style w:type="paragraph" w:customStyle="1" w:styleId="Balk10">
    <w:name w:val="Başlık #1"/>
    <w:basedOn w:val="Normal"/>
    <w:link w:val="Balk1"/>
    <w:rsid w:val="00AB7A30"/>
    <w:pPr>
      <w:shd w:val="clear" w:color="auto" w:fill="FFFFFF"/>
      <w:spacing w:after="360" w:line="0" w:lineRule="atLeast"/>
      <w:jc w:val="center"/>
      <w:outlineLvl w:val="0"/>
    </w:pPr>
    <w:rPr>
      <w:rFonts w:ascii="Arial Narrow" w:eastAsia="Arial Narrow" w:hAnsi="Arial Narrow" w:cs="Arial Narrow"/>
      <w:b/>
      <w:bCs/>
      <w:sz w:val="27"/>
      <w:szCs w:val="27"/>
    </w:rPr>
  </w:style>
  <w:style w:type="paragraph" w:customStyle="1" w:styleId="Gvdemetni0">
    <w:name w:val="Gövde metni"/>
    <w:basedOn w:val="Normal"/>
    <w:link w:val="Gvdemetni"/>
    <w:rsid w:val="00AB7A30"/>
    <w:pPr>
      <w:shd w:val="clear" w:color="auto" w:fill="FFFFFF"/>
      <w:spacing w:before="360" w:line="211" w:lineRule="exact"/>
    </w:pPr>
    <w:rPr>
      <w:rFonts w:ascii="Arial Narrow" w:eastAsia="Arial Narrow" w:hAnsi="Arial Narrow" w:cs="Arial Narrow"/>
      <w:sz w:val="17"/>
      <w:szCs w:val="17"/>
    </w:rPr>
  </w:style>
  <w:style w:type="paragraph" w:customStyle="1" w:styleId="Gvdemetni20">
    <w:name w:val="Gövde metni (2)"/>
    <w:basedOn w:val="Normal"/>
    <w:link w:val="Gvdemetni2"/>
    <w:rsid w:val="00AB7A30"/>
    <w:pPr>
      <w:shd w:val="clear" w:color="auto" w:fill="FFFFFF"/>
      <w:spacing w:line="211" w:lineRule="exact"/>
      <w:jc w:val="right"/>
    </w:pPr>
    <w:rPr>
      <w:rFonts w:ascii="Arial Narrow" w:eastAsia="Arial Narrow" w:hAnsi="Arial Narrow" w:cs="Arial Narrow"/>
      <w:b/>
      <w:bCs/>
      <w:spacing w:val="30"/>
      <w:sz w:val="17"/>
      <w:szCs w:val="17"/>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Words>
  <Characters>3573</Characters>
  <Application>Microsoft Office Word</Application>
  <DocSecurity>0</DocSecurity>
  <Lines>29</Lines>
  <Paragraphs>8</Paragraphs>
  <ScaleCrop>false</ScaleCrop>
  <Company/>
  <LinksUpToDate>false</LinksUpToDate>
  <CharactersWithSpaces>4191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2012-06-13T09:59:00Z</dcterms:created>
  <dcterms:modified xsi:type="dcterms:W3CDTF">2012-06-13T09:59:00Z</dcterms:modified>
</cp:coreProperties>
</file>