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Overlap w:val="never"/>
        <w:tblW w:w="0" w:type="auto"/>
        <w:jc w:val="center"/>
        <w:tblLayout w:type="fixed"/>
        <w:tblCellMar>
          <w:left w:w="10" w:type="dxa"/>
          <w:right w:w="10" w:type="dxa"/>
        </w:tblCellMar>
        <w:tblLook w:val="04A0"/>
      </w:tblPr>
      <w:tblGrid>
        <w:gridCol w:w="1882"/>
        <w:gridCol w:w="4594"/>
      </w:tblGrid>
      <w:tr w:rsidR="001F2CF1">
        <w:tblPrEx>
          <w:tblCellMar>
            <w:top w:w="0" w:type="dxa"/>
            <w:bottom w:w="0" w:type="dxa"/>
          </w:tblCellMar>
        </w:tblPrEx>
        <w:trPr>
          <w:trHeight w:hRule="exact" w:val="182"/>
          <w:jc w:val="center"/>
        </w:trPr>
        <w:tc>
          <w:tcPr>
            <w:tcW w:w="1882" w:type="dxa"/>
            <w:shd w:val="clear" w:color="auto" w:fill="000000"/>
          </w:tcPr>
          <w:p w:rsidR="001F2CF1" w:rsidRDefault="00727074">
            <w:pPr>
              <w:pStyle w:val="Gvdemetni0"/>
              <w:framePr w:w="6475" w:wrap="notBeside" w:vAnchor="text" w:hAnchor="text" w:xAlign="center" w:y="1"/>
              <w:shd w:val="clear" w:color="auto" w:fill="auto"/>
              <w:spacing w:line="130" w:lineRule="exact"/>
              <w:ind w:left="160"/>
              <w:jc w:val="left"/>
            </w:pPr>
            <w:r>
              <w:rPr>
                <w:rStyle w:val="Gvdemetni65ptKaln"/>
              </w:rPr>
              <w:t>T.C.</w:t>
            </w:r>
          </w:p>
        </w:tc>
        <w:tc>
          <w:tcPr>
            <w:tcW w:w="4594" w:type="dxa"/>
            <w:shd w:val="clear" w:color="auto" w:fill="000000"/>
          </w:tcPr>
          <w:p w:rsidR="001F2CF1" w:rsidRDefault="001F2CF1">
            <w:pPr>
              <w:framePr w:w="6475" w:wrap="notBeside" w:vAnchor="text" w:hAnchor="text" w:xAlign="center" w:y="1"/>
              <w:rPr>
                <w:sz w:val="10"/>
                <w:szCs w:val="10"/>
              </w:rPr>
            </w:pPr>
          </w:p>
        </w:tc>
      </w:tr>
      <w:tr w:rsidR="001F2CF1">
        <w:tblPrEx>
          <w:tblCellMar>
            <w:top w:w="0" w:type="dxa"/>
            <w:bottom w:w="0" w:type="dxa"/>
          </w:tblCellMar>
        </w:tblPrEx>
        <w:trPr>
          <w:trHeight w:hRule="exact" w:val="192"/>
          <w:jc w:val="center"/>
        </w:trPr>
        <w:tc>
          <w:tcPr>
            <w:tcW w:w="1882" w:type="dxa"/>
            <w:shd w:val="clear" w:color="auto" w:fill="000000"/>
          </w:tcPr>
          <w:p w:rsidR="001F2CF1" w:rsidRDefault="00727074">
            <w:pPr>
              <w:pStyle w:val="Gvdemetni0"/>
              <w:framePr w:w="6475" w:wrap="notBeside" w:vAnchor="text" w:hAnchor="text" w:xAlign="center" w:y="1"/>
              <w:shd w:val="clear" w:color="auto" w:fill="auto"/>
              <w:spacing w:line="130" w:lineRule="exact"/>
              <w:ind w:left="160"/>
              <w:jc w:val="left"/>
            </w:pPr>
            <w:r>
              <w:rPr>
                <w:rStyle w:val="Gvdemetni65ptKaln"/>
              </w:rPr>
              <w:t>ANKARA</w:t>
            </w:r>
          </w:p>
        </w:tc>
        <w:tc>
          <w:tcPr>
            <w:tcW w:w="4594" w:type="dxa"/>
            <w:shd w:val="clear" w:color="auto" w:fill="000000"/>
          </w:tcPr>
          <w:p w:rsidR="001F2CF1" w:rsidRDefault="001F2CF1">
            <w:pPr>
              <w:framePr w:w="6475" w:wrap="notBeside" w:vAnchor="text" w:hAnchor="text" w:xAlign="center" w:y="1"/>
              <w:rPr>
                <w:sz w:val="10"/>
                <w:szCs w:val="10"/>
              </w:rPr>
            </w:pPr>
          </w:p>
        </w:tc>
      </w:tr>
      <w:tr w:rsidR="001F2CF1">
        <w:tblPrEx>
          <w:tblCellMar>
            <w:top w:w="0" w:type="dxa"/>
            <w:bottom w:w="0" w:type="dxa"/>
          </w:tblCellMar>
        </w:tblPrEx>
        <w:trPr>
          <w:trHeight w:hRule="exact" w:val="216"/>
          <w:jc w:val="center"/>
        </w:trPr>
        <w:tc>
          <w:tcPr>
            <w:tcW w:w="1882" w:type="dxa"/>
            <w:shd w:val="clear" w:color="auto" w:fill="000000"/>
          </w:tcPr>
          <w:p w:rsidR="001F2CF1" w:rsidRDefault="00727074">
            <w:pPr>
              <w:pStyle w:val="Gvdemetni0"/>
              <w:framePr w:w="6475" w:wrap="notBeside" w:vAnchor="text" w:hAnchor="text" w:xAlign="center" w:y="1"/>
              <w:shd w:val="clear" w:color="auto" w:fill="auto"/>
              <w:spacing w:line="130" w:lineRule="exact"/>
              <w:ind w:left="160"/>
              <w:jc w:val="left"/>
            </w:pPr>
            <w:r>
              <w:rPr>
                <w:rStyle w:val="Gvdemetni65ptKaln"/>
              </w:rPr>
              <w:t>23. İCRA MÜDÜRLÜĞÜ</w:t>
            </w:r>
          </w:p>
        </w:tc>
        <w:tc>
          <w:tcPr>
            <w:tcW w:w="4594" w:type="dxa"/>
            <w:shd w:val="clear" w:color="auto" w:fill="000000"/>
          </w:tcPr>
          <w:p w:rsidR="001F2CF1" w:rsidRDefault="001F2CF1">
            <w:pPr>
              <w:framePr w:w="6475" w:wrap="notBeside" w:vAnchor="text" w:hAnchor="text" w:xAlign="center" w:y="1"/>
              <w:rPr>
                <w:sz w:val="10"/>
                <w:szCs w:val="10"/>
              </w:rPr>
            </w:pPr>
          </w:p>
        </w:tc>
      </w:tr>
      <w:tr w:rsidR="001F2CF1">
        <w:tblPrEx>
          <w:tblCellMar>
            <w:top w:w="0" w:type="dxa"/>
            <w:bottom w:w="0" w:type="dxa"/>
          </w:tblCellMar>
        </w:tblPrEx>
        <w:trPr>
          <w:trHeight w:hRule="exact" w:val="202"/>
          <w:jc w:val="center"/>
        </w:trPr>
        <w:tc>
          <w:tcPr>
            <w:tcW w:w="1882" w:type="dxa"/>
            <w:shd w:val="clear" w:color="auto" w:fill="000000"/>
          </w:tcPr>
          <w:p w:rsidR="001F2CF1" w:rsidRDefault="00727074">
            <w:pPr>
              <w:pStyle w:val="Gvdemetni0"/>
              <w:framePr w:w="6475" w:wrap="notBeside" w:vAnchor="text" w:hAnchor="text" w:xAlign="center" w:y="1"/>
              <w:shd w:val="clear" w:color="auto" w:fill="auto"/>
              <w:spacing w:line="130" w:lineRule="exact"/>
              <w:ind w:left="160"/>
              <w:jc w:val="left"/>
            </w:pPr>
            <w:r>
              <w:rPr>
                <w:rStyle w:val="Gvdemetni65ptKaln"/>
              </w:rPr>
              <w:t>Dosya No: 2011/2419</w:t>
            </w:r>
          </w:p>
        </w:tc>
        <w:tc>
          <w:tcPr>
            <w:tcW w:w="4594" w:type="dxa"/>
            <w:shd w:val="clear" w:color="auto" w:fill="000000"/>
          </w:tcPr>
          <w:p w:rsidR="001F2CF1" w:rsidRDefault="001F2CF1">
            <w:pPr>
              <w:framePr w:w="6475" w:wrap="notBeside" w:vAnchor="text" w:hAnchor="text" w:xAlign="center" w:y="1"/>
              <w:rPr>
                <w:sz w:val="10"/>
                <w:szCs w:val="10"/>
              </w:rPr>
            </w:pPr>
          </w:p>
        </w:tc>
      </w:tr>
      <w:tr w:rsidR="001F2CF1">
        <w:tblPrEx>
          <w:tblCellMar>
            <w:top w:w="0" w:type="dxa"/>
            <w:bottom w:w="0" w:type="dxa"/>
          </w:tblCellMar>
        </w:tblPrEx>
        <w:trPr>
          <w:trHeight w:hRule="exact" w:val="221"/>
          <w:jc w:val="center"/>
        </w:trPr>
        <w:tc>
          <w:tcPr>
            <w:tcW w:w="1882" w:type="dxa"/>
            <w:shd w:val="clear" w:color="auto" w:fill="000000"/>
          </w:tcPr>
          <w:p w:rsidR="001F2CF1" w:rsidRDefault="001F2CF1">
            <w:pPr>
              <w:framePr w:w="6475" w:wrap="notBeside" w:vAnchor="text" w:hAnchor="text" w:xAlign="center" w:y="1"/>
              <w:rPr>
                <w:sz w:val="10"/>
                <w:szCs w:val="10"/>
              </w:rPr>
            </w:pPr>
          </w:p>
        </w:tc>
        <w:tc>
          <w:tcPr>
            <w:tcW w:w="4594" w:type="dxa"/>
            <w:shd w:val="clear" w:color="auto" w:fill="000000"/>
          </w:tcPr>
          <w:p w:rsidR="001F2CF1" w:rsidRDefault="00727074">
            <w:pPr>
              <w:pStyle w:val="Gvdemetni0"/>
              <w:framePr w:w="6475" w:wrap="notBeside" w:vAnchor="text" w:hAnchor="text" w:xAlign="center" w:y="1"/>
              <w:shd w:val="clear" w:color="auto" w:fill="auto"/>
              <w:spacing w:line="130" w:lineRule="exact"/>
              <w:ind w:left="320"/>
              <w:jc w:val="left"/>
            </w:pPr>
            <w:r>
              <w:rPr>
                <w:rStyle w:val="Gvdemetni65ptKaln"/>
              </w:rPr>
              <w:t>TAŞINMAZIN AÇIK ARTIRMA İLANI</w:t>
            </w:r>
          </w:p>
        </w:tc>
      </w:tr>
    </w:tbl>
    <w:p w:rsidR="001F2CF1" w:rsidRDefault="001F2CF1">
      <w:pPr>
        <w:rPr>
          <w:sz w:val="2"/>
          <w:szCs w:val="2"/>
        </w:rPr>
      </w:pPr>
    </w:p>
    <w:p w:rsidR="001F2CF1" w:rsidRDefault="00727074">
      <w:pPr>
        <w:pStyle w:val="Gvdemetni20"/>
        <w:shd w:val="clear" w:color="auto" w:fill="auto"/>
        <w:spacing w:before="84"/>
        <w:ind w:left="160"/>
      </w:pPr>
      <w:r>
        <w:t>Satılmasına karar verilen taşınmazın dnsl, niteliği, kıymeti, adedi, önemli özellikleri:</w:t>
      </w:r>
    </w:p>
    <w:p w:rsidR="001F2CF1" w:rsidRDefault="00727074">
      <w:pPr>
        <w:pStyle w:val="Gvdemetni0"/>
        <w:shd w:val="clear" w:color="auto" w:fill="auto"/>
        <w:ind w:left="160" w:right="360"/>
      </w:pPr>
      <w:r>
        <w:rPr>
          <w:rStyle w:val="Gvdemetni65ptKaln0"/>
        </w:rPr>
        <w:t xml:space="preserve">Ankara İli Çankaya </w:t>
      </w:r>
      <w:r>
        <w:t xml:space="preserve">ilçesi Kültür mahallesi Mithatpaşa caddesi ile Ziya Gökalp bulvarının </w:t>
      </w:r>
      <w:r>
        <w:rPr>
          <w:rStyle w:val="Gvdemetni65ptKaln0"/>
        </w:rPr>
        <w:t xml:space="preserve">ke\l&gt;in«|« </w:t>
      </w:r>
      <w:r>
        <w:t xml:space="preserve">kain imarın 1070 ada 16 nolu parselde yer alan 43 kapı nolu köşe apartmanındaki zemin </w:t>
      </w:r>
      <w:r>
        <w:rPr>
          <w:rStyle w:val="Gvdemetni65ptKaln0"/>
        </w:rPr>
        <w:t xml:space="preserve">kat 40 ıııriu </w:t>
      </w:r>
      <w:r>
        <w:t>bağımsuz bölüm (fiiliyatta 43 nolu bağımsız bölüm) dükka</w:t>
      </w:r>
      <w:r>
        <w:t xml:space="preserve">n ve bağlantısı satışa çıkarılmışın hım yaklaşık 40 45 yıllık olup ayrık yapı nizamında bodrum +Zemin+Asma kat +7 kat olarak </w:t>
      </w:r>
      <w:r>
        <w:rPr>
          <w:rStyle w:val="Gvdemetni65ptKaln0"/>
        </w:rPr>
        <w:t xml:space="preserve">toplum III </w:t>
      </w:r>
      <w:r>
        <w:t xml:space="preserve">kattan oluşmaktadır 40 nolu dükkanın zemin katı 10 m2 dükkan, 8m2 merdiven, asma </w:t>
      </w:r>
      <w:r>
        <w:rPr>
          <w:rStyle w:val="Gvdemetni65ptKaln0"/>
        </w:rPr>
        <w:t xml:space="preserve">bodrum kılı </w:t>
      </w:r>
      <w:r>
        <w:t>120 m2 kapalı alan, koridor</w:t>
      </w:r>
      <w:r>
        <w:t xml:space="preserve">, oturma salonları ,4 adet bölünmüş oda yer almaktadır Bodrum </w:t>
      </w:r>
      <w:r>
        <w:rPr>
          <w:rStyle w:val="Gvdemetni65ptKaln0"/>
        </w:rPr>
        <w:t xml:space="preserve">k.ıtı </w:t>
      </w:r>
      <w:r>
        <w:rPr>
          <w:rStyle w:val="GvdemetniKkBykHarf"/>
        </w:rPr>
        <w:t xml:space="preserve">;ini </w:t>
      </w:r>
      <w:r>
        <w:t xml:space="preserve">m2 kapalı alana sahip olup asma kat ile birlikte kahvehane olarak kullanılmış ve arkada </w:t>
      </w:r>
      <w:r>
        <w:rPr>
          <w:rStyle w:val="Gvdemetni65ptKaln0"/>
        </w:rPr>
        <w:t xml:space="preserve">gizli olaı»k </w:t>
      </w:r>
      <w:r>
        <w:t>kullanılmış odalar yapılmıştır eklenti olarak 300 m2 alanlı avlu mahalline çıkış b</w:t>
      </w:r>
      <w:r>
        <w:t xml:space="preserve">odrum kattan 2 </w:t>
      </w:r>
      <w:r>
        <w:rPr>
          <w:rStyle w:val="Gvdemetni65ptKaln0"/>
        </w:rPr>
        <w:t xml:space="preserve">laik </w:t>
      </w:r>
      <w:r>
        <w:t xml:space="preserve">lı yerden sağlanmaktadır Tapu kütüğünde 40 nolu taşınmaza 42 nolu deponun eklenti olauk eklendiği tesbit edilmiştir. 40 nolu bağımsız bölüm, zemin kattaki dükkanı, bodrum kattaki </w:t>
      </w:r>
      <w:r>
        <w:rPr>
          <w:rStyle w:val="Gvdemetni65ptKaln0"/>
        </w:rPr>
        <w:t xml:space="preserve">eklentin </w:t>
      </w:r>
      <w:r>
        <w:t>virane halhdeki 207 m2 inşaat alanlı 42 nolu dep</w:t>
      </w:r>
      <w:r>
        <w:t xml:space="preserve">osu ile 300 m2 iç bahçe konumundaki eklentisi </w:t>
      </w:r>
      <w:r>
        <w:rPr>
          <w:rStyle w:val="Gvdemetni65ptKaln0"/>
        </w:rPr>
        <w:t xml:space="preserve">il» </w:t>
      </w:r>
      <w:r>
        <w:t xml:space="preserve">mahkemece belirlenen muhammen bedeli 1.150.000,00 TL dır Taşınmazın bulunduğu bölge </w:t>
      </w:r>
      <w:r>
        <w:rPr>
          <w:rStyle w:val="Gvdemetni65ptKaln0"/>
        </w:rPr>
        <w:t xml:space="preserve">komH </w:t>
      </w:r>
      <w:r>
        <w:t xml:space="preserve">ve ticaret bölgesidir Çankaya Belediyesi Harita Servisinde yapılan araştırmada taşınmazın </w:t>
      </w:r>
      <w:r>
        <w:rPr>
          <w:rStyle w:val="Gvdemetni65ptKaln0"/>
        </w:rPr>
        <w:t xml:space="preserve">bulun </w:t>
      </w:r>
      <w:r>
        <w:t>duğu parselin ayrık n</w:t>
      </w:r>
      <w:r>
        <w:t xml:space="preserve">izam 9 katlı ticaret alanı olduğu tesbit edilmiştir </w:t>
      </w:r>
      <w:r>
        <w:rPr>
          <w:rStyle w:val="Gvdemetni65ptKaln0"/>
        </w:rPr>
        <w:t>Muhammen Bedel</w:t>
      </w:r>
      <w:r>
        <w:t xml:space="preserve">: </w:t>
      </w:r>
      <w:r>
        <w:rPr>
          <w:rStyle w:val="Gvdemetni65ptKaln0"/>
        </w:rPr>
        <w:t xml:space="preserve">1.150.000,00 </w:t>
      </w:r>
      <w:r>
        <w:t xml:space="preserve">TL </w:t>
      </w:r>
      <w:r>
        <w:rPr>
          <w:rStyle w:val="Gvdemetni65ptKaln0"/>
        </w:rPr>
        <w:t>Satış şartlan:</w:t>
      </w:r>
    </w:p>
    <w:p w:rsidR="001F2CF1" w:rsidRDefault="00727074">
      <w:pPr>
        <w:pStyle w:val="Gvdemetni0"/>
        <w:numPr>
          <w:ilvl w:val="0"/>
          <w:numId w:val="1"/>
        </w:numPr>
        <w:shd w:val="clear" w:color="auto" w:fill="auto"/>
        <w:tabs>
          <w:tab w:val="left" w:pos="429"/>
        </w:tabs>
        <w:ind w:left="160" w:right="360"/>
      </w:pPr>
      <w:r>
        <w:t xml:space="preserve">Satış; </w:t>
      </w:r>
      <w:r>
        <w:rPr>
          <w:rStyle w:val="Gvdemetni65ptKaln0"/>
        </w:rPr>
        <w:t xml:space="preserve">20 Temmuz 2012 Cuma günü 1330-13,40 saatleri arasında; ANKARA ADLİYESİ TAŞINMA/ MEZAT 1 . SALONU nda, </w:t>
      </w:r>
      <w:r>
        <w:t>açık artırma suretiyle yapılacaktır. Bu artırmad</w:t>
      </w:r>
      <w:r>
        <w:t xml:space="preserve">a tahmin edilen değerin % 60'ını ve rüçhanl) alacaklılar varsa alacakları toplamını ve satış giderlerini geçmek şartı ile </w:t>
      </w:r>
      <w:r>
        <w:rPr>
          <w:rStyle w:val="Gvdemetni65ptKaln0"/>
        </w:rPr>
        <w:t xml:space="preserve">ihalr </w:t>
      </w:r>
      <w:r>
        <w:t xml:space="preserve">olunur. Böyle bir bedelle alıcı çıkmazsa en çok artıranın taahhüdü saklı kalmak şartiyle </w:t>
      </w:r>
      <w:r>
        <w:rPr>
          <w:rStyle w:val="Gvdemetni65ptKaln0"/>
        </w:rPr>
        <w:t>30Temmuı 2012 Pazartesi günü 1330 13.40</w:t>
      </w:r>
      <w:r>
        <w:rPr>
          <w:rStyle w:val="Gvdemetni65ptKaln0"/>
        </w:rPr>
        <w:t xml:space="preserve"> saatleri arasında </w:t>
      </w:r>
      <w:r>
        <w:t xml:space="preserve">aynı yerde ikinci artırmaya çıkarılacaktır Bu </w:t>
      </w:r>
      <w:r>
        <w:rPr>
          <w:rStyle w:val="Gvdemetni65ptKaln0"/>
        </w:rPr>
        <w:t xml:space="preserve">artır </w:t>
      </w:r>
      <w:r>
        <w:t xml:space="preserve">mada da rüçhanlı alacaklıların alacağını ve satış giderlerini geçmesi şartıyla en çok artırana </w:t>
      </w:r>
      <w:r>
        <w:rPr>
          <w:rStyle w:val="Gvdemetni65ptKaln0"/>
        </w:rPr>
        <w:t xml:space="preserve">ihal« </w:t>
      </w:r>
      <w:r>
        <w:t>olunur. Şu kadar ki, artırma bedelinin malın tahmin edilen kıymetinin % 40 ını bulma</w:t>
      </w:r>
      <w:r>
        <w:t xml:space="preserve">sı ve </w:t>
      </w:r>
      <w:r>
        <w:rPr>
          <w:rStyle w:val="Gvdemetni65ptKaln0"/>
        </w:rPr>
        <w:t xml:space="preserve">satış </w:t>
      </w:r>
      <w:r>
        <w:t xml:space="preserve">isteyenin alacağına rüçhanı olan alacakların toplamından fazla olması ve bundan başka </w:t>
      </w:r>
      <w:r>
        <w:rPr>
          <w:rStyle w:val="Gvdemetni65ptKaln0"/>
        </w:rPr>
        <w:t xml:space="preserve">paraya </w:t>
      </w:r>
      <w:r>
        <w:t>çevirrrıe ve paylaştırma masraflarını geçmesi lazımdır. Böyle fazla bedelle alıcı çıkmazsa satış talebi düşecektir</w:t>
      </w:r>
    </w:p>
    <w:p w:rsidR="001F2CF1" w:rsidRDefault="00727074">
      <w:pPr>
        <w:pStyle w:val="Gvdemetni0"/>
        <w:numPr>
          <w:ilvl w:val="0"/>
          <w:numId w:val="1"/>
        </w:numPr>
        <w:shd w:val="clear" w:color="auto" w:fill="auto"/>
        <w:tabs>
          <w:tab w:val="left" w:pos="270"/>
        </w:tabs>
        <w:ind w:left="160" w:right="360"/>
      </w:pPr>
      <w:r>
        <w:t>- Artırmaya iştirak edeceklerin, tah</w:t>
      </w:r>
      <w:r>
        <w:t>min edilen değerin % 20'si oranında pey akçesi veya bu miktar kadar banka teminat mektubu vermeleri lâzımdır Satış peşin para iledir, alıcı istediğinde (10) günü geçmemek üzere süre verilebilir. Tellaliye resmi, damga vergisi, tapu harç ve masrafları alıcı</w:t>
      </w:r>
      <w:r>
        <w:t>ya aittir. Birikmiş vergiler satış bedelinden ödenir.</w:t>
      </w:r>
    </w:p>
    <w:p w:rsidR="001F2CF1" w:rsidRDefault="00727074">
      <w:pPr>
        <w:pStyle w:val="Gvdemetni0"/>
        <w:numPr>
          <w:ilvl w:val="0"/>
          <w:numId w:val="1"/>
        </w:numPr>
        <w:shd w:val="clear" w:color="auto" w:fill="auto"/>
        <w:tabs>
          <w:tab w:val="left" w:pos="285"/>
        </w:tabs>
        <w:ind w:left="160" w:right="360"/>
      </w:pPr>
      <w:r>
        <w:t xml:space="preserve">- ipotek sahibi alacaklılarla diğer ilgilerin (*) bu gayrimenkul üzerindeki haklarını özellikle faiz </w:t>
      </w:r>
      <w:r>
        <w:rPr>
          <w:rStyle w:val="Gvdemetni65ptKaln0"/>
        </w:rPr>
        <w:t xml:space="preserve">ve </w:t>
      </w:r>
      <w:r>
        <w:t>giderlere dair olan iddialarını dayanağı belgeler ile (15) gün içinde dairemize bildirmeleri lazım</w:t>
      </w:r>
      <w:r>
        <w:t>dır, aksi takdirde haklan tapu sicil ile sabit olmadıkça paylaşmadan hariç bırakılacaktır</w:t>
      </w:r>
    </w:p>
    <w:p w:rsidR="001F2CF1" w:rsidRDefault="00727074">
      <w:pPr>
        <w:pStyle w:val="Gvdemetni0"/>
        <w:numPr>
          <w:ilvl w:val="0"/>
          <w:numId w:val="1"/>
        </w:numPr>
        <w:shd w:val="clear" w:color="auto" w:fill="auto"/>
        <w:tabs>
          <w:tab w:val="left" w:pos="294"/>
        </w:tabs>
        <w:ind w:left="160" w:right="360"/>
      </w:pPr>
      <w:r>
        <w:t>- Satış bedeli hemen veya verilen mühlet içinde ödenmezse icra ve iflas Kanununun 133 üncü maddesi gereğince ihale feshedilir. İki ihale arasındaki farktan ve %10 fai</w:t>
      </w:r>
      <w:r>
        <w:t>zden alıcı ve kefilleri mesul tutulacak ve hiçbir hükrn».hacet kalmadan kendilerinden tahsil edilecektir</w:t>
      </w:r>
    </w:p>
    <w:p w:rsidR="001F2CF1" w:rsidRDefault="00727074">
      <w:pPr>
        <w:pStyle w:val="Gvdemetni0"/>
        <w:numPr>
          <w:ilvl w:val="0"/>
          <w:numId w:val="1"/>
        </w:numPr>
        <w:shd w:val="clear" w:color="auto" w:fill="auto"/>
        <w:tabs>
          <w:tab w:val="left" w:pos="294"/>
          <w:tab w:val="left" w:pos="4643"/>
          <w:tab w:val="left" w:pos="6429"/>
        </w:tabs>
        <w:ind w:left="160" w:right="240"/>
        <w:jc w:val="left"/>
      </w:pPr>
      <w:r>
        <w:t>- Şartname, ilân tarihinden itibaren herkesin görebilmesi için dairede açık olup giden verildiği takdirde isteyen alıcıya bir Örneği gönderilebilir</w:t>
      </w:r>
      <w:r>
        <w:tab/>
      </w:r>
      <w:r>
        <w:rPr>
          <w:vertAlign w:val="subscript"/>
        </w:rPr>
        <w:t>#</w:t>
      </w:r>
      <w:r>
        <w:tab/>
        <w:t>I</w:t>
      </w:r>
    </w:p>
    <w:p w:rsidR="001F2CF1" w:rsidRDefault="00727074">
      <w:pPr>
        <w:pStyle w:val="Gvdemetni0"/>
        <w:numPr>
          <w:ilvl w:val="0"/>
          <w:numId w:val="1"/>
        </w:numPr>
        <w:shd w:val="clear" w:color="auto" w:fill="auto"/>
        <w:tabs>
          <w:tab w:val="left" w:pos="285"/>
        </w:tabs>
        <w:ind w:left="160" w:right="360"/>
      </w:pPr>
      <w:r>
        <w:t>- Satışı iştirak edenlerin şartnameyi görmüş ve münderecatını kabul etmiş sayılacakları, başkaca bilgi almak isteyenlerin 2011/2419 sayılı dosya numarasıyla müdürlüğümüze başvurmaları ilân olunur.</w:t>
      </w:r>
    </w:p>
    <w:p w:rsidR="001F2CF1" w:rsidRDefault="00727074">
      <w:pPr>
        <w:pStyle w:val="Gvdemetni30"/>
        <w:shd w:val="clear" w:color="auto" w:fill="auto"/>
        <w:ind w:left="160"/>
      </w:pPr>
      <w:r>
        <w:t>İİKm.</w:t>
      </w:r>
      <w:r>
        <w:rPr>
          <w:rStyle w:val="Gvdemetni3Kaln"/>
        </w:rPr>
        <w:t>126</w:t>
      </w:r>
      <w:r>
        <w:t>)</w:t>
      </w:r>
    </w:p>
    <w:p w:rsidR="001F2CF1" w:rsidRDefault="00727074">
      <w:pPr>
        <w:pStyle w:val="Gvdemetni0"/>
        <w:shd w:val="clear" w:color="auto" w:fill="auto"/>
        <w:ind w:left="160"/>
      </w:pPr>
      <w:r>
        <w:t xml:space="preserve">(*) İlgililer tabirine irtifak hakkı sahipleri </w:t>
      </w:r>
      <w:r>
        <w:t>de dahildir</w:t>
      </w:r>
    </w:p>
    <w:p w:rsidR="001F2CF1" w:rsidRDefault="00727074">
      <w:pPr>
        <w:pStyle w:val="Gvdemetni0"/>
        <w:shd w:val="clear" w:color="auto" w:fill="auto"/>
        <w:spacing w:after="177"/>
        <w:ind w:left="160"/>
      </w:pPr>
      <w:r>
        <w:t>Bu örnek, bu Yönetmelikten önceki uygulamada kullanılan Örnek 64'e karşılık gelmektedir.</w:t>
      </w:r>
    </w:p>
    <w:p w:rsidR="001F2CF1" w:rsidRDefault="00727074">
      <w:pPr>
        <w:pStyle w:val="Gvdemetni20"/>
        <w:shd w:val="clear" w:color="auto" w:fill="auto"/>
        <w:spacing w:before="0" w:line="130" w:lineRule="exact"/>
        <w:ind w:left="200"/>
        <w:jc w:val="center"/>
      </w:pPr>
      <w:r>
        <w:t xml:space="preserve">Resmi ilanlar; www.Han.gov.tr'de BN: 36778 </w:t>
      </w:r>
      <w:hyperlink r:id="rId7" w:history="1">
        <w:r>
          <w:rPr>
            <w:rStyle w:val="Kpr"/>
            <w:lang w:val="en-US"/>
          </w:rPr>
          <w:t>www.bik.gov.tr</w:t>
        </w:r>
      </w:hyperlink>
      <w:r>
        <w:rPr>
          <w:lang w:val="en-US"/>
        </w:rPr>
        <w:t>)</w:t>
      </w:r>
    </w:p>
    <w:sectPr w:rsidR="001F2CF1" w:rsidSect="001F2CF1">
      <w:pgSz w:w="11909" w:h="16838"/>
      <w:pgMar w:top="2730" w:right="2573" w:bottom="3066" w:left="262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074" w:rsidRDefault="00727074" w:rsidP="001F2CF1">
      <w:r>
        <w:separator/>
      </w:r>
    </w:p>
  </w:endnote>
  <w:endnote w:type="continuationSeparator" w:id="1">
    <w:p w:rsidR="00727074" w:rsidRDefault="00727074" w:rsidP="001F2CF1">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2"/>
    <w:family w:val="swiss"/>
    <w:pitch w:val="variable"/>
    <w:sig w:usb0="61002A87" w:usb1="80000000" w:usb2="00000008" w:usb3="00000000" w:csb0="000101F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074" w:rsidRDefault="00727074"/>
  </w:footnote>
  <w:footnote w:type="continuationSeparator" w:id="1">
    <w:p w:rsidR="00727074" w:rsidRDefault="0072707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E0696"/>
    <w:multiLevelType w:val="multilevel"/>
    <w:tmpl w:val="16CABC14"/>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1F2CF1"/>
    <w:rsid w:val="001F2CF1"/>
    <w:rsid w:val="00445FF0"/>
    <w:rsid w:val="0072707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F2CF1"/>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1F2CF1"/>
    <w:rPr>
      <w:color w:val="000080"/>
      <w:u w:val="single"/>
    </w:rPr>
  </w:style>
  <w:style w:type="character" w:customStyle="1" w:styleId="Gvdemetni">
    <w:name w:val="Gövde metni_"/>
    <w:basedOn w:val="VarsaylanParagrafYazTipi"/>
    <w:link w:val="Gvdemetni0"/>
    <w:rsid w:val="001F2CF1"/>
    <w:rPr>
      <w:rFonts w:ascii="Tahoma" w:eastAsia="Tahoma" w:hAnsi="Tahoma" w:cs="Tahoma"/>
      <w:b w:val="0"/>
      <w:bCs w:val="0"/>
      <w:i w:val="0"/>
      <w:iCs w:val="0"/>
      <w:smallCaps w:val="0"/>
      <w:strike w:val="0"/>
      <w:sz w:val="14"/>
      <w:szCs w:val="14"/>
      <w:u w:val="none"/>
    </w:rPr>
  </w:style>
  <w:style w:type="character" w:customStyle="1" w:styleId="Gvdemetni65ptKaln">
    <w:name w:val="Gövde metni + 6;5 pt;Kalın"/>
    <w:basedOn w:val="Gvdemetni"/>
    <w:rsid w:val="001F2CF1"/>
    <w:rPr>
      <w:b/>
      <w:bCs/>
      <w:color w:val="FFFFFF"/>
      <w:spacing w:val="0"/>
      <w:w w:val="100"/>
      <w:position w:val="0"/>
      <w:sz w:val="13"/>
      <w:szCs w:val="13"/>
      <w:lang w:val="tr-TR"/>
    </w:rPr>
  </w:style>
  <w:style w:type="character" w:customStyle="1" w:styleId="Gvdemetni2">
    <w:name w:val="Gövde metni (2)_"/>
    <w:basedOn w:val="VarsaylanParagrafYazTipi"/>
    <w:link w:val="Gvdemetni20"/>
    <w:rsid w:val="001F2CF1"/>
    <w:rPr>
      <w:rFonts w:ascii="Tahoma" w:eastAsia="Tahoma" w:hAnsi="Tahoma" w:cs="Tahoma"/>
      <w:b/>
      <w:bCs/>
      <w:i w:val="0"/>
      <w:iCs w:val="0"/>
      <w:smallCaps w:val="0"/>
      <w:strike w:val="0"/>
      <w:sz w:val="13"/>
      <w:szCs w:val="13"/>
      <w:u w:val="none"/>
    </w:rPr>
  </w:style>
  <w:style w:type="character" w:customStyle="1" w:styleId="Gvdemetni65ptKaln0">
    <w:name w:val="Gövde metni + 6;5 pt;Kalın"/>
    <w:basedOn w:val="Gvdemetni"/>
    <w:rsid w:val="001F2CF1"/>
    <w:rPr>
      <w:b/>
      <w:bCs/>
      <w:color w:val="000000"/>
      <w:spacing w:val="0"/>
      <w:w w:val="100"/>
      <w:position w:val="0"/>
      <w:sz w:val="13"/>
      <w:szCs w:val="13"/>
      <w:lang w:val="tr-TR"/>
    </w:rPr>
  </w:style>
  <w:style w:type="character" w:customStyle="1" w:styleId="GvdemetniKkBykHarf">
    <w:name w:val="Gövde metni + Küçük Büyük Harf"/>
    <w:basedOn w:val="Gvdemetni"/>
    <w:rsid w:val="001F2CF1"/>
    <w:rPr>
      <w:smallCaps/>
      <w:color w:val="000000"/>
      <w:spacing w:val="0"/>
      <w:w w:val="100"/>
      <w:position w:val="0"/>
      <w:lang w:val="tr-TR"/>
    </w:rPr>
  </w:style>
  <w:style w:type="character" w:customStyle="1" w:styleId="Gvdemetni3">
    <w:name w:val="Gövde metni (3)_"/>
    <w:basedOn w:val="VarsaylanParagrafYazTipi"/>
    <w:link w:val="Gvdemetni30"/>
    <w:rsid w:val="001F2CF1"/>
    <w:rPr>
      <w:rFonts w:ascii="Century Gothic" w:eastAsia="Century Gothic" w:hAnsi="Century Gothic" w:cs="Century Gothic"/>
      <w:b w:val="0"/>
      <w:bCs w:val="0"/>
      <w:i w:val="0"/>
      <w:iCs w:val="0"/>
      <w:smallCaps w:val="0"/>
      <w:strike w:val="0"/>
      <w:spacing w:val="-10"/>
      <w:sz w:val="15"/>
      <w:szCs w:val="15"/>
      <w:u w:val="none"/>
    </w:rPr>
  </w:style>
  <w:style w:type="character" w:customStyle="1" w:styleId="Gvdemetni3Kaln">
    <w:name w:val="Gövde metni (3) + Kalın"/>
    <w:basedOn w:val="Gvdemetni3"/>
    <w:rsid w:val="001F2CF1"/>
    <w:rPr>
      <w:b/>
      <w:bCs/>
      <w:color w:val="000000"/>
      <w:w w:val="100"/>
      <w:position w:val="0"/>
      <w:lang w:val="tr-TR"/>
    </w:rPr>
  </w:style>
  <w:style w:type="paragraph" w:customStyle="1" w:styleId="Gvdemetni0">
    <w:name w:val="Gövde metni"/>
    <w:basedOn w:val="Normal"/>
    <w:link w:val="Gvdemetni"/>
    <w:rsid w:val="001F2CF1"/>
    <w:pPr>
      <w:shd w:val="clear" w:color="auto" w:fill="FFFFFF"/>
      <w:spacing w:line="202" w:lineRule="exact"/>
      <w:jc w:val="both"/>
    </w:pPr>
    <w:rPr>
      <w:rFonts w:ascii="Tahoma" w:eastAsia="Tahoma" w:hAnsi="Tahoma" w:cs="Tahoma"/>
      <w:sz w:val="14"/>
      <w:szCs w:val="14"/>
    </w:rPr>
  </w:style>
  <w:style w:type="paragraph" w:customStyle="1" w:styleId="Gvdemetni20">
    <w:name w:val="Gövde metni (2)"/>
    <w:basedOn w:val="Normal"/>
    <w:link w:val="Gvdemetni2"/>
    <w:rsid w:val="001F2CF1"/>
    <w:pPr>
      <w:shd w:val="clear" w:color="auto" w:fill="FFFFFF"/>
      <w:spacing w:before="120" w:line="202" w:lineRule="exact"/>
      <w:jc w:val="both"/>
    </w:pPr>
    <w:rPr>
      <w:rFonts w:ascii="Tahoma" w:eastAsia="Tahoma" w:hAnsi="Tahoma" w:cs="Tahoma"/>
      <w:b/>
      <w:bCs/>
      <w:sz w:val="13"/>
      <w:szCs w:val="13"/>
    </w:rPr>
  </w:style>
  <w:style w:type="paragraph" w:customStyle="1" w:styleId="Gvdemetni30">
    <w:name w:val="Gövde metni (3)"/>
    <w:basedOn w:val="Normal"/>
    <w:link w:val="Gvdemetni3"/>
    <w:rsid w:val="001F2CF1"/>
    <w:pPr>
      <w:shd w:val="clear" w:color="auto" w:fill="FFFFFF"/>
      <w:spacing w:line="202" w:lineRule="exact"/>
      <w:jc w:val="both"/>
    </w:pPr>
    <w:rPr>
      <w:rFonts w:ascii="Century Gothic" w:eastAsia="Century Gothic" w:hAnsi="Century Gothic" w:cs="Century Gothic"/>
      <w:spacing w:val="-10"/>
      <w:sz w:val="15"/>
      <w:szCs w:val="15"/>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591</Words>
  <Characters>3369</Characters>
  <Application>Microsoft Office Word</Application>
  <DocSecurity>0</DocSecurity>
  <Lines>28</Lines>
  <Paragraphs>7</Paragraphs>
  <ScaleCrop>false</ScaleCrop>
  <Company/>
  <LinksUpToDate>false</LinksUpToDate>
  <CharactersWithSpaces>3953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2012-06-10T11:15:00Z</dcterms:created>
  <dcterms:modified xsi:type="dcterms:W3CDTF">2012-06-10T11:16:00Z</dcterms:modified>
</cp:coreProperties>
</file>