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74" w:rsidRDefault="00C049A1" w:rsidP="00C049A1">
      <w:pPr>
        <w:pStyle w:val="Balk10"/>
        <w:framePr w:w="6619" w:h="10960" w:hRule="exact" w:wrap="none" w:vAnchor="page" w:hAnchor="page" w:x="1021" w:y="472"/>
        <w:shd w:val="clear" w:color="auto" w:fill="auto"/>
        <w:spacing w:after="0" w:line="230" w:lineRule="exact"/>
        <w:ind w:right="220"/>
        <w:jc w:val="center"/>
      </w:pPr>
      <w:bookmarkStart w:id="0" w:name="bookmark0"/>
      <w:r>
        <w:t>KARACABEY BU</w:t>
      </w:r>
      <w:r w:rsidR="00A44EB2">
        <w:t>RSA İCRA DAİRESİ NDEN TAŞINMAZ ACIK ARTIRMA İLANI</w:t>
      </w:r>
      <w:bookmarkEnd w:id="0"/>
    </w:p>
    <w:p w:rsidR="004A6E74" w:rsidRDefault="00A44EB2">
      <w:pPr>
        <w:pStyle w:val="Gvdemetni0"/>
        <w:framePr w:w="6619" w:h="10960" w:hRule="exact" w:wrap="none" w:vAnchor="page" w:hAnchor="page" w:x="1021" w:y="472"/>
        <w:shd w:val="clear" w:color="auto" w:fill="auto"/>
        <w:spacing w:before="0"/>
        <w:ind w:left="260" w:right="178"/>
      </w:pPr>
      <w:r>
        <w:t>2011/1654 TLMT.</w:t>
      </w:r>
    </w:p>
    <w:p w:rsidR="004A6E74" w:rsidRDefault="00A44EB2">
      <w:pPr>
        <w:pStyle w:val="Gvdemetni0"/>
        <w:framePr w:w="6619" w:h="10960" w:hRule="exact" w:wrap="none" w:vAnchor="page" w:hAnchor="page" w:x="1021" w:y="472"/>
        <w:shd w:val="clear" w:color="auto" w:fill="auto"/>
        <w:spacing w:before="0"/>
        <w:ind w:left="260" w:right="178"/>
      </w:pPr>
      <w:r>
        <w:t>Satılmasına Karar Verilen Taşınmazın Cinsi, Kıymeti, Adedi Evsafı:</w:t>
      </w:r>
    </w:p>
    <w:p w:rsidR="004A6E74" w:rsidRDefault="00A44EB2">
      <w:pPr>
        <w:pStyle w:val="Gvdemetni0"/>
        <w:framePr w:w="6619" w:h="10960" w:hRule="exact" w:wrap="none" w:vAnchor="page" w:hAnchor="page" w:x="1021" w:y="472"/>
        <w:shd w:val="clear" w:color="auto" w:fill="auto"/>
        <w:spacing w:before="0"/>
        <w:ind w:left="260" w:right="220"/>
      </w:pPr>
      <w:r>
        <w:rPr>
          <w:rStyle w:val="GvdemetniImpact75pt0ptbolukbraklyor70lek"/>
        </w:rPr>
        <w:t xml:space="preserve">Taşınmazın Kaydı: </w:t>
      </w:r>
      <w:r>
        <w:t xml:space="preserve">Karacabey ilçesi, </w:t>
      </w:r>
      <w:proofErr w:type="spellStart"/>
      <w:r>
        <w:t>Sırabademler</w:t>
      </w:r>
      <w:proofErr w:type="spellEnd"/>
      <w:r>
        <w:t xml:space="preserve"> Mahallesi, </w:t>
      </w:r>
      <w:proofErr w:type="spellStart"/>
      <w:r>
        <w:t>Paşaçayın</w:t>
      </w:r>
      <w:proofErr w:type="spellEnd"/>
      <w:r>
        <w:t xml:space="preserve"> mevkii 258 Ada No, 562 Parsel No, 5.009,00 m</w:t>
      </w:r>
      <w:r>
        <w:rPr>
          <w:vertAlign w:val="superscript"/>
        </w:rPr>
        <w:t>2</w:t>
      </w:r>
      <w:r>
        <w:br/>
      </w:r>
      <w:proofErr w:type="spellStart"/>
      <w:r>
        <w:t>miktanlı</w:t>
      </w:r>
      <w:proofErr w:type="spellEnd"/>
      <w:r>
        <w:t xml:space="preserve">, Bahçeli Bodrum Katta deposu Olan ve Zemin, Asma Katlı </w:t>
      </w:r>
      <w:proofErr w:type="spellStart"/>
      <w:r>
        <w:t>Kargir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niteliğindeki taşınmaz borçlu adına tapuya</w:t>
      </w:r>
      <w:r>
        <w:br/>
        <w:t>kayıtlıdır.</w:t>
      </w:r>
    </w:p>
    <w:p w:rsidR="004A6E74" w:rsidRDefault="00A44EB2">
      <w:pPr>
        <w:pStyle w:val="Gvdemetni0"/>
        <w:framePr w:w="6619" w:h="10960" w:hRule="exact" w:wrap="none" w:vAnchor="page" w:hAnchor="page" w:x="1021" w:y="472"/>
        <w:shd w:val="clear" w:color="auto" w:fill="auto"/>
        <w:spacing w:before="0"/>
        <w:ind w:left="260" w:right="178"/>
      </w:pPr>
      <w:r>
        <w:rPr>
          <w:rStyle w:val="GvdemetniImpact75pt0ptbolukbraklyor70lek"/>
        </w:rPr>
        <w:t xml:space="preserve">Taşınmazın imar Durumu: </w:t>
      </w:r>
      <w:r>
        <w:t>Karacabey Belediyesi imar planı ve konut alanı içinde kalmaktadır.</w:t>
      </w:r>
    </w:p>
    <w:p w:rsidR="004A6E74" w:rsidRDefault="00A44EB2">
      <w:pPr>
        <w:pStyle w:val="Gvdemetni0"/>
        <w:framePr w:w="6619" w:h="10960" w:hRule="exact" w:wrap="none" w:vAnchor="page" w:hAnchor="page" w:x="1021" w:y="472"/>
        <w:shd w:val="clear" w:color="auto" w:fill="auto"/>
        <w:spacing w:before="0"/>
        <w:ind w:left="260" w:right="220"/>
      </w:pPr>
      <w:r>
        <w:rPr>
          <w:rStyle w:val="GvdemetniImpact75pt0ptbolukbraklyor70lek"/>
        </w:rPr>
        <w:t xml:space="preserve">Taşınmazın Mevcut Durumu: </w:t>
      </w:r>
      <w:r>
        <w:t>Parsel</w:t>
      </w:r>
      <w:r>
        <w:t xml:space="preserve"> üzerinde 1 bodrum, 1 zemin oluşan prefabrik betonarme olarak yapılmış depo alanı</w:t>
      </w:r>
      <w:r>
        <w:br/>
        <w:t>ve idare binası 5009 m</w:t>
      </w:r>
      <w:r>
        <w:rPr>
          <w:vertAlign w:val="superscript"/>
        </w:rPr>
        <w:t>2</w:t>
      </w:r>
      <w:r>
        <w:t xml:space="preserve"> alan üzerinde mevcuttur. Yapı bodrum ve zemin kat 970 m</w:t>
      </w:r>
      <w:r>
        <w:rPr>
          <w:vertAlign w:val="superscript"/>
        </w:rPr>
        <w:t>2</w:t>
      </w:r>
      <w:r>
        <w:t xml:space="preserve"> alanlı </w:t>
      </w:r>
      <w:proofErr w:type="spellStart"/>
      <w:r>
        <w:t>duvarian</w:t>
      </w:r>
      <w:proofErr w:type="spellEnd"/>
      <w:r>
        <w:t xml:space="preserve"> sıvalı ve boyalı olup yer</w:t>
      </w:r>
      <w:r>
        <w:br/>
        <w:t>döşeme kaplaması seramikten imal edilmiştir. Asma k</w:t>
      </w:r>
      <w:r>
        <w:t>atta idari bina olarak kullanılan odalar bulunmaktadır. Pencereler. Kapılar</w:t>
      </w:r>
      <w:r>
        <w:br/>
        <w:t xml:space="preserve">Amerikan Kapı, pencereleri </w:t>
      </w:r>
      <w:proofErr w:type="spellStart"/>
      <w:r>
        <w:t>pvc</w:t>
      </w:r>
      <w:proofErr w:type="spellEnd"/>
      <w:r>
        <w:t xml:space="preserve"> esaslı malzemeden imal edilmiştir. Yer döşeme kaplaması seramikten imal edilmiştir. </w:t>
      </w:r>
      <w:proofErr w:type="spellStart"/>
      <w:r>
        <w:t>Duvarian</w:t>
      </w:r>
      <w:proofErr w:type="spellEnd"/>
      <w:r>
        <w:br/>
        <w:t>alçı sıvalı ve saten boyalıdır, asma kat ise 320 m</w:t>
      </w:r>
      <w:r>
        <w:rPr>
          <w:vertAlign w:val="superscript"/>
        </w:rPr>
        <w:t>2</w:t>
      </w:r>
      <w:r>
        <w:t xml:space="preserve"> den </w:t>
      </w:r>
      <w:r>
        <w:t xml:space="preserve">oluşmaktadır. Yola cepheli komşu parseller yoldan yaklaşık 6 ■ 8 </w:t>
      </w:r>
      <w:proofErr w:type="spellStart"/>
      <w:r>
        <w:t>mt</w:t>
      </w:r>
      <w:proofErr w:type="spellEnd"/>
      <w:r>
        <w:br/>
        <w:t>daha düşük kotta bulunmaktadır. Yapının etrafında yaklaşık 3000 m</w:t>
      </w:r>
      <w:r>
        <w:rPr>
          <w:vertAlign w:val="superscript"/>
        </w:rPr>
        <w:t>2</w:t>
      </w:r>
      <w:r>
        <w:t xml:space="preserve"> saha betonu ve etrafında betonarme istinat ve bahçe</w:t>
      </w:r>
      <w:r>
        <w:br/>
      </w:r>
      <w:proofErr w:type="spellStart"/>
      <w:r>
        <w:t>duvarian</w:t>
      </w:r>
      <w:proofErr w:type="spellEnd"/>
      <w:r>
        <w:t xml:space="preserve"> ile çevrilmiştir. Yapının </w:t>
      </w:r>
      <w:proofErr w:type="spellStart"/>
      <w:r>
        <w:t>inşaasında</w:t>
      </w:r>
      <w:proofErr w:type="spellEnd"/>
      <w:r>
        <w:t xml:space="preserve"> dolgu görülmüştür,</w:t>
      </w:r>
    </w:p>
    <w:p w:rsidR="004A6E74" w:rsidRDefault="00A44EB2">
      <w:pPr>
        <w:pStyle w:val="Gvdemetni20"/>
        <w:framePr w:w="6619" w:h="10960" w:hRule="exact" w:wrap="none" w:vAnchor="page" w:hAnchor="page" w:x="1021" w:y="472"/>
        <w:shd w:val="clear" w:color="auto" w:fill="auto"/>
        <w:ind w:left="260" w:right="178"/>
      </w:pPr>
      <w:r>
        <w:t>Takd</w:t>
      </w:r>
      <w:r>
        <w:t xml:space="preserve">ir Olunan Kıymeti: </w:t>
      </w:r>
      <w:r>
        <w:rPr>
          <w:rStyle w:val="Gvdemetni2LucidaSansUnicode85pt0ptbolukbraklyor66lek"/>
        </w:rPr>
        <w:t>1.750.720,00 TL</w:t>
      </w:r>
    </w:p>
    <w:p w:rsidR="004A6E74" w:rsidRDefault="00A44EB2">
      <w:pPr>
        <w:pStyle w:val="Gvdemetni0"/>
        <w:framePr w:w="6619" w:h="10960" w:hRule="exact" w:wrap="none" w:vAnchor="page" w:hAnchor="page" w:x="1021" w:y="472"/>
        <w:numPr>
          <w:ilvl w:val="0"/>
          <w:numId w:val="1"/>
        </w:numPr>
        <w:shd w:val="clear" w:color="auto" w:fill="auto"/>
        <w:tabs>
          <w:tab w:val="left" w:pos="394"/>
        </w:tabs>
        <w:spacing w:before="0"/>
        <w:ind w:left="260" w:right="178"/>
      </w:pPr>
      <w:r>
        <w:rPr>
          <w:rStyle w:val="GvdemetniImpact75pt0ptbolukbraklyor70lek"/>
        </w:rPr>
        <w:t xml:space="preserve">Satış </w:t>
      </w:r>
      <w:proofErr w:type="spellStart"/>
      <w:r>
        <w:rPr>
          <w:rStyle w:val="GvdemetniImpact75pt0ptbolukbraklyor70lek"/>
        </w:rPr>
        <w:t>Giinü</w:t>
      </w:r>
      <w:proofErr w:type="spellEnd"/>
      <w:r>
        <w:rPr>
          <w:rStyle w:val="GvdemetniImpact75pt0ptbolukbraklyor70lek"/>
        </w:rPr>
        <w:t xml:space="preserve">: </w:t>
      </w:r>
      <w:proofErr w:type="gramStart"/>
      <w:r>
        <w:t>18/12/2012</w:t>
      </w:r>
      <w:proofErr w:type="gramEnd"/>
      <w:r>
        <w:t xml:space="preserve"> Salı 10:00 -10:10 saatleri arasında</w:t>
      </w:r>
    </w:p>
    <w:p w:rsidR="004A6E74" w:rsidRDefault="00A44EB2">
      <w:pPr>
        <w:pStyle w:val="Gvdemetni0"/>
        <w:framePr w:w="6619" w:h="10960" w:hRule="exact" w:wrap="none" w:vAnchor="page" w:hAnchor="page" w:x="1021" w:y="472"/>
        <w:numPr>
          <w:ilvl w:val="0"/>
          <w:numId w:val="1"/>
        </w:numPr>
        <w:shd w:val="clear" w:color="auto" w:fill="auto"/>
        <w:tabs>
          <w:tab w:val="left" w:pos="394"/>
        </w:tabs>
        <w:spacing w:before="0"/>
        <w:ind w:left="260" w:right="178"/>
      </w:pPr>
      <w:r>
        <w:rPr>
          <w:rStyle w:val="GvdemetniImpact75pt0ptbolukbraklyor70lek"/>
        </w:rPr>
        <w:t xml:space="preserve">Satış Günü: </w:t>
      </w:r>
      <w:proofErr w:type="gramStart"/>
      <w:r>
        <w:t>28/12/2012</w:t>
      </w:r>
      <w:proofErr w:type="gramEnd"/>
      <w:r>
        <w:t xml:space="preserve"> Cuma 10:00 -10:10 saatleri arasında</w:t>
      </w:r>
    </w:p>
    <w:p w:rsidR="004A6E74" w:rsidRDefault="00A44EB2">
      <w:pPr>
        <w:pStyle w:val="Gvdemetni0"/>
        <w:framePr w:w="6619" w:h="10960" w:hRule="exact" w:wrap="none" w:vAnchor="page" w:hAnchor="page" w:x="1021" w:y="472"/>
        <w:shd w:val="clear" w:color="auto" w:fill="auto"/>
        <w:spacing w:before="0"/>
        <w:ind w:left="260" w:right="178"/>
      </w:pPr>
      <w:proofErr w:type="spellStart"/>
      <w:r>
        <w:t>Yukanda</w:t>
      </w:r>
      <w:proofErr w:type="spellEnd"/>
      <w:r>
        <w:t xml:space="preserve"> özellikleri yazılı taşınmazlar bir borç nedeni ile açık arttırma suretiyle satılacaktır.</w:t>
      </w:r>
    </w:p>
    <w:p w:rsidR="004A6E74" w:rsidRDefault="00A44EB2">
      <w:pPr>
        <w:pStyle w:val="Gvdemetni20"/>
        <w:framePr w:w="6619" w:h="10960" w:hRule="exact" w:wrap="none" w:vAnchor="page" w:hAnchor="page" w:x="1021" w:y="472"/>
        <w:shd w:val="clear" w:color="auto" w:fill="auto"/>
        <w:ind w:left="260" w:right="178"/>
      </w:pPr>
      <w:r>
        <w:t>Satış</w:t>
      </w:r>
      <w:r>
        <w:t xml:space="preserve"> Şartları:</w:t>
      </w:r>
    </w:p>
    <w:p w:rsidR="004A6E74" w:rsidRDefault="00A44EB2">
      <w:pPr>
        <w:pStyle w:val="Gvdemetni0"/>
        <w:framePr w:w="6619" w:h="10960" w:hRule="exact" w:wrap="none" w:vAnchor="page" w:hAnchor="page" w:x="1021" w:y="472"/>
        <w:numPr>
          <w:ilvl w:val="0"/>
          <w:numId w:val="2"/>
        </w:numPr>
        <w:shd w:val="clear" w:color="auto" w:fill="auto"/>
        <w:tabs>
          <w:tab w:val="left" w:pos="490"/>
        </w:tabs>
        <w:spacing w:before="0"/>
        <w:ind w:left="260" w:right="220"/>
      </w:pPr>
      <w:r>
        <w:t xml:space="preserve">Satış </w:t>
      </w:r>
      <w:proofErr w:type="spellStart"/>
      <w:r>
        <w:t>yukanda</w:t>
      </w:r>
      <w:proofErr w:type="spellEnd"/>
      <w:r>
        <w:t xml:space="preserve"> belirtilen gün ve saatte Karacabey icra </w:t>
      </w:r>
      <w:proofErr w:type="spellStart"/>
      <w:r>
        <w:t>Müdürtüğü</w:t>
      </w:r>
      <w:proofErr w:type="spellEnd"/>
      <w:r>
        <w:t xml:space="preserve"> </w:t>
      </w:r>
      <w:proofErr w:type="spellStart"/>
      <w:r>
        <w:t>Ûdası'da</w:t>
      </w:r>
      <w:proofErr w:type="spellEnd"/>
      <w:r>
        <w:t xml:space="preserve"> açık artırma sureti ile yapılacaktır. Bu artırmada</w:t>
      </w:r>
      <w:r>
        <w:br/>
        <w:t xml:space="preserve">tahmin edilen kıymetin % 60'ını ve rüçhanlı alacaklılar varsa </w:t>
      </w:r>
      <w:proofErr w:type="spellStart"/>
      <w:r>
        <w:t>ataklan</w:t>
      </w:r>
      <w:proofErr w:type="spellEnd"/>
      <w:r>
        <w:t xml:space="preserve"> mecmuunu ve satış masraftan geçmek şartı ile ihale</w:t>
      </w:r>
      <w:r>
        <w:br/>
      </w:r>
      <w:r>
        <w:t xml:space="preserve">olunur. Böyle bir bedelle alıcı çıkmaz ise en çok artıranın taahhüdü baki kalmak şartı ile </w:t>
      </w:r>
      <w:proofErr w:type="spellStart"/>
      <w:r>
        <w:t>yukanda</w:t>
      </w:r>
      <w:proofErr w:type="spellEnd"/>
      <w:r>
        <w:t xml:space="preserve"> belirtilen gün ve saatlerde</w:t>
      </w:r>
      <w:r>
        <w:br/>
        <w:t>ikinci arttırmaya çıkılacaktır Bu arttırmada da tu miktar elde edilememiş ise taşınmaz en çok arttıranın taahhüdü saklı kalmak</w:t>
      </w:r>
      <w:r>
        <w:br/>
        <w:t>üz</w:t>
      </w:r>
      <w:r>
        <w:t xml:space="preserve">ere arttırma ilanında gösterilen müddet sonunda en çok artırana ihale edilecektir. Şu kadar ki, arttırma bedelinin malın </w:t>
      </w:r>
      <w:proofErr w:type="spellStart"/>
      <w:r>
        <w:t>tah</w:t>
      </w:r>
      <w:proofErr w:type="spellEnd"/>
      <w:r>
        <w:t>-</w:t>
      </w:r>
      <w:r>
        <w:br/>
      </w:r>
      <w:proofErr w:type="spellStart"/>
      <w:r>
        <w:t>min</w:t>
      </w:r>
      <w:proofErr w:type="spellEnd"/>
      <w:r>
        <w:t xml:space="preserve"> edilen kıymetinin % 40‘</w:t>
      </w:r>
      <w:proofErr w:type="spellStart"/>
      <w:r>
        <w:t>ını</w:t>
      </w:r>
      <w:proofErr w:type="spellEnd"/>
      <w:r>
        <w:t xml:space="preserve"> bulması ve satış isteyenin alacağına </w:t>
      </w:r>
      <w:proofErr w:type="spellStart"/>
      <w:r>
        <w:t>rilçhanı</w:t>
      </w:r>
      <w:proofErr w:type="spellEnd"/>
      <w:r>
        <w:t xml:space="preserve"> olan alacakta toplamından fazla olması ve bun-</w:t>
      </w:r>
      <w:r>
        <w:br/>
      </w:r>
      <w:proofErr w:type="gramStart"/>
      <w:r>
        <w:t>dan</w:t>
      </w:r>
      <w:proofErr w:type="gramEnd"/>
      <w:r>
        <w:t xml:space="preserve"> ba</w:t>
      </w:r>
      <w:r>
        <w:t xml:space="preserve">şka, paraya çevirme ve paylaştırma </w:t>
      </w:r>
      <w:proofErr w:type="spellStart"/>
      <w:r>
        <w:t>masraflannı</w:t>
      </w:r>
      <w:proofErr w:type="spellEnd"/>
      <w:r>
        <w:t xml:space="preserve"> geçmesi lazımdır. Böyle fazla bedelle alıcı çıkmaz ise satış talebi</w:t>
      </w:r>
      <w:r>
        <w:br/>
        <w:t>düşecektir.</w:t>
      </w:r>
    </w:p>
    <w:p w:rsidR="004A6E74" w:rsidRDefault="00A44EB2">
      <w:pPr>
        <w:pStyle w:val="Gvdemetni0"/>
        <w:framePr w:w="6619" w:h="10960" w:hRule="exact" w:wrap="none" w:vAnchor="page" w:hAnchor="page" w:x="1021" w:y="472"/>
        <w:numPr>
          <w:ilvl w:val="0"/>
          <w:numId w:val="2"/>
        </w:numPr>
        <w:shd w:val="clear" w:color="auto" w:fill="auto"/>
        <w:tabs>
          <w:tab w:val="left" w:pos="481"/>
        </w:tabs>
        <w:spacing w:before="0"/>
        <w:ind w:left="260" w:right="220"/>
      </w:pPr>
      <w:r>
        <w:t xml:space="preserve">Arttırmaya iştirak edeceklerin, tahmin edilen </w:t>
      </w:r>
      <w:proofErr w:type="spellStart"/>
      <w:r>
        <w:t>kpetin</w:t>
      </w:r>
      <w:proofErr w:type="spellEnd"/>
      <w:r>
        <w:t xml:space="preserve"> % 20'si </w:t>
      </w:r>
      <w:proofErr w:type="spellStart"/>
      <w:r>
        <w:t>nisbetinde</w:t>
      </w:r>
      <w:proofErr w:type="spellEnd"/>
      <w:r>
        <w:t xml:space="preserve"> pey akçesi veya bu miktar kadar milli bir bankanın</w:t>
      </w:r>
      <w:r>
        <w:br/>
        <w:t>temina</w:t>
      </w:r>
      <w:r>
        <w:t>t mektubunu vermeleri lazımdır. Satış peşin para iledir. Alıcı istediğinde 10 günü geçmemek üzere mehil verilebilir.</w:t>
      </w:r>
      <w:r>
        <w:br/>
      </w:r>
      <w:proofErr w:type="gramStart"/>
      <w:r>
        <w:t>Tellaliye</w:t>
      </w:r>
      <w:proofErr w:type="gramEnd"/>
      <w:r>
        <w:t xml:space="preserve"> resmi, ihale pulu, 1/2 tapu harcı ve masrafa, KDV alıcıya aittir.</w:t>
      </w:r>
    </w:p>
    <w:p w:rsidR="004A6E74" w:rsidRDefault="00A44EB2">
      <w:pPr>
        <w:pStyle w:val="Gvdemetni0"/>
        <w:framePr w:w="6619" w:h="10960" w:hRule="exact" w:wrap="none" w:vAnchor="page" w:hAnchor="page" w:x="1021" w:y="472"/>
        <w:numPr>
          <w:ilvl w:val="0"/>
          <w:numId w:val="2"/>
        </w:numPr>
        <w:shd w:val="clear" w:color="auto" w:fill="auto"/>
        <w:tabs>
          <w:tab w:val="left" w:pos="486"/>
        </w:tabs>
        <w:spacing w:before="0"/>
        <w:ind w:left="260" w:right="220"/>
      </w:pPr>
      <w:proofErr w:type="gramStart"/>
      <w:r>
        <w:t>ipotek</w:t>
      </w:r>
      <w:proofErr w:type="gramEnd"/>
      <w:r>
        <w:t xml:space="preserve"> sahibi alacaklılarla diğer ilgililerin (*) bu taşınmaz ü</w:t>
      </w:r>
      <w:r>
        <w:t xml:space="preserve">zerindeki </w:t>
      </w:r>
      <w:proofErr w:type="spellStart"/>
      <w:r>
        <w:t>haklannı</w:t>
      </w:r>
      <w:proofErr w:type="spellEnd"/>
      <w:r>
        <w:t xml:space="preserve"> hususu ile faiz ve masrafa dair olan </w:t>
      </w:r>
      <w:proofErr w:type="spellStart"/>
      <w:r>
        <w:t>iddialannı</w:t>
      </w:r>
      <w:proofErr w:type="spellEnd"/>
      <w:r>
        <w:br/>
        <w:t>dayanağı belgeler ile on beş gün içinde dairemize bildirmeleri lazımdır. Aksi takdirde haklan tapu sicil ile sabit olmadıkça</w:t>
      </w:r>
      <w:r>
        <w:br/>
        <w:t>paylaşmadan hariç bırakılacaktır.</w:t>
      </w:r>
    </w:p>
    <w:p w:rsidR="004A6E74" w:rsidRDefault="00A44EB2">
      <w:pPr>
        <w:pStyle w:val="Gvdemetni0"/>
        <w:framePr w:w="6619" w:h="10960" w:hRule="exact" w:wrap="none" w:vAnchor="page" w:hAnchor="page" w:x="1021" w:y="472"/>
        <w:numPr>
          <w:ilvl w:val="0"/>
          <w:numId w:val="2"/>
        </w:numPr>
        <w:shd w:val="clear" w:color="auto" w:fill="auto"/>
        <w:tabs>
          <w:tab w:val="left" w:pos="486"/>
        </w:tabs>
        <w:spacing w:before="0"/>
        <w:ind w:left="260" w:right="220"/>
      </w:pPr>
      <w:r>
        <w:t>İhaleye katılıp daha sonra iha</w:t>
      </w:r>
      <w:r>
        <w:t>le bedelini yatırmamak sureti ile ihalenin feshine sebep olan tüm alıcılar ve kefilleri teklif ettik-</w:t>
      </w:r>
      <w:r>
        <w:br/>
      </w:r>
      <w:proofErr w:type="spellStart"/>
      <w:r>
        <w:t>leri</w:t>
      </w:r>
      <w:proofErr w:type="spellEnd"/>
      <w:r>
        <w:t xml:space="preserve"> bedel ile son ihale bedeli arasındaki farktan ve diğer zararlardan ve </w:t>
      </w:r>
      <w:proofErr w:type="spellStart"/>
      <w:r>
        <w:t>aynca</w:t>
      </w:r>
      <w:proofErr w:type="spellEnd"/>
      <w:r>
        <w:t xml:space="preserve"> temerrüt faizinden </w:t>
      </w:r>
      <w:proofErr w:type="spellStart"/>
      <w:r>
        <w:t>müteselsilen</w:t>
      </w:r>
      <w:proofErr w:type="spellEnd"/>
      <w:r>
        <w:t xml:space="preserve"> mesul olacak-</w:t>
      </w:r>
      <w:r>
        <w:br/>
      </w:r>
      <w:proofErr w:type="spellStart"/>
      <w:r>
        <w:t>lardır</w:t>
      </w:r>
      <w:proofErr w:type="spellEnd"/>
      <w:r>
        <w:t>. İhale farkı ve teme</w:t>
      </w:r>
      <w:r>
        <w:t xml:space="preserve">rrüt faizi </w:t>
      </w:r>
      <w:proofErr w:type="spellStart"/>
      <w:r>
        <w:t>aynca</w:t>
      </w:r>
      <w:proofErr w:type="spellEnd"/>
      <w:r>
        <w:t xml:space="preserve"> hükme hacet kalmaksızın dairemizce tahsil olunacak, bu fark, varsa öncelikle teminat</w:t>
      </w:r>
      <w:r>
        <w:br/>
        <w:t>bedelinden alınacaktır,</w:t>
      </w:r>
    </w:p>
    <w:p w:rsidR="004A6E74" w:rsidRDefault="00A44EB2">
      <w:pPr>
        <w:pStyle w:val="Gvdemetni0"/>
        <w:framePr w:w="6619" w:h="10960" w:hRule="exact" w:wrap="none" w:vAnchor="page" w:hAnchor="page" w:x="1021" w:y="472"/>
        <w:numPr>
          <w:ilvl w:val="0"/>
          <w:numId w:val="2"/>
        </w:numPr>
        <w:shd w:val="clear" w:color="auto" w:fill="auto"/>
        <w:tabs>
          <w:tab w:val="left" w:pos="490"/>
        </w:tabs>
        <w:spacing w:before="0"/>
        <w:ind w:left="260" w:right="220"/>
      </w:pPr>
      <w:r>
        <w:t>Şartname, ilan tarihinden itibaren herkesin görebilmesi için dairede açık olup masrafı verildiği takdirde isteyen alıcıya bir</w:t>
      </w:r>
      <w:r>
        <w:br/>
        <w:t>örne</w:t>
      </w:r>
      <w:r>
        <w:t>ği gönderilebilir.</w:t>
      </w:r>
    </w:p>
    <w:p w:rsidR="004A6E74" w:rsidRDefault="00A44EB2">
      <w:pPr>
        <w:pStyle w:val="Gvdemetni0"/>
        <w:framePr w:w="6619" w:h="10960" w:hRule="exact" w:wrap="none" w:vAnchor="page" w:hAnchor="page" w:x="1021" w:y="472"/>
        <w:numPr>
          <w:ilvl w:val="0"/>
          <w:numId w:val="2"/>
        </w:numPr>
        <w:shd w:val="clear" w:color="auto" w:fill="auto"/>
        <w:tabs>
          <w:tab w:val="left" w:pos="500"/>
        </w:tabs>
        <w:spacing w:before="0"/>
        <w:ind w:left="260" w:right="220"/>
      </w:pPr>
      <w:r>
        <w:t xml:space="preserve">Satışa iştirak edenleri şartnameyi görmüş ve münderecatını kabul etmiş </w:t>
      </w:r>
      <w:proofErr w:type="spellStart"/>
      <w:r>
        <w:t>sanlacaklan</w:t>
      </w:r>
      <w:proofErr w:type="spellEnd"/>
      <w:r>
        <w:t>, başkaca bilgi almak isteyenlerin</w:t>
      </w:r>
      <w:r>
        <w:br/>
        <w:t xml:space="preserve">2011/1654 sayılı dosya numarası ile müdürlüğümüze </w:t>
      </w:r>
      <w:proofErr w:type="spellStart"/>
      <w:r>
        <w:t>başvurmalan</w:t>
      </w:r>
      <w:proofErr w:type="spellEnd"/>
      <w:r>
        <w:t xml:space="preserve"> ilan olunur.</w:t>
      </w:r>
    </w:p>
    <w:p w:rsidR="004A6E74" w:rsidRDefault="00A44EB2">
      <w:pPr>
        <w:pStyle w:val="Gvdemetni0"/>
        <w:framePr w:w="6619" w:h="10960" w:hRule="exact" w:wrap="none" w:vAnchor="page" w:hAnchor="page" w:x="1021" w:y="472"/>
        <w:shd w:val="clear" w:color="auto" w:fill="auto"/>
        <w:spacing w:before="0"/>
        <w:ind w:left="260" w:right="178"/>
      </w:pPr>
      <w:r>
        <w:t>(</w:t>
      </w:r>
      <w:proofErr w:type="spellStart"/>
      <w:proofErr w:type="gramStart"/>
      <w:r>
        <w:t>lc</w:t>
      </w:r>
      <w:proofErr w:type="spellEnd"/>
      <w:r>
        <w:t>.</w:t>
      </w:r>
      <w:proofErr w:type="spellStart"/>
      <w:r>
        <w:t>if</w:t>
      </w:r>
      <w:proofErr w:type="spellEnd"/>
      <w:proofErr w:type="gramEnd"/>
      <w:r>
        <w:t>.K.126)</w:t>
      </w:r>
    </w:p>
    <w:p w:rsidR="004A6E74" w:rsidRDefault="00A44EB2">
      <w:pPr>
        <w:pStyle w:val="Gvdemetni0"/>
        <w:framePr w:w="6619" w:h="10960" w:hRule="exact" w:wrap="none" w:vAnchor="page" w:hAnchor="page" w:x="1021" w:y="472"/>
        <w:shd w:val="clear" w:color="auto" w:fill="auto"/>
        <w:spacing w:before="0"/>
        <w:ind w:left="260" w:right="178"/>
      </w:pPr>
      <w:r>
        <w:t xml:space="preserve">(*) </w:t>
      </w:r>
      <w:proofErr w:type="spellStart"/>
      <w:r>
        <w:t>llgiertabirine</w:t>
      </w:r>
      <w:proofErr w:type="spellEnd"/>
      <w:r>
        <w:t xml:space="preserve"> irtifak </w:t>
      </w:r>
      <w:r>
        <w:t xml:space="preserve">hakkı sahipleri de </w:t>
      </w:r>
      <w:proofErr w:type="gramStart"/>
      <w:r>
        <w:t>dahildir</w:t>
      </w:r>
      <w:proofErr w:type="gramEnd"/>
      <w:r>
        <w:t>.</w:t>
      </w:r>
    </w:p>
    <w:p w:rsidR="004A6E74" w:rsidRDefault="00A44EB2">
      <w:pPr>
        <w:pStyle w:val="Gvdemetni20"/>
        <w:framePr w:w="6619" w:h="10960" w:hRule="exact" w:wrap="none" w:vAnchor="page" w:hAnchor="page" w:x="1021" w:y="472"/>
        <w:shd w:val="clear" w:color="auto" w:fill="auto"/>
        <w:tabs>
          <w:tab w:val="left" w:pos="4743"/>
        </w:tabs>
        <w:ind w:left="260" w:right="178"/>
      </w:pPr>
      <w:r>
        <w:rPr>
          <w:rStyle w:val="Gvdemetni2LucidaSansUnicode85pt0ptbolukbraklyor66lek"/>
        </w:rPr>
        <w:t>Yönetmelik örnek no: 27</w:t>
      </w:r>
      <w:r>
        <w:rPr>
          <w:rStyle w:val="Gvdemetni2LucidaSansUnicode85pt0ptbolukbraklyor66lek"/>
        </w:rPr>
        <w:tab/>
      </w:r>
      <w:r>
        <w:t xml:space="preserve">BASIN: 68705 </w:t>
      </w:r>
      <w:r>
        <w:rPr>
          <w:lang w:val="en-US"/>
        </w:rPr>
        <w:t>(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p w:rsidR="004A6E74" w:rsidRDefault="004A6E74">
      <w:pPr>
        <w:rPr>
          <w:sz w:val="2"/>
          <w:szCs w:val="2"/>
        </w:rPr>
      </w:pPr>
    </w:p>
    <w:sectPr w:rsidR="004A6E74" w:rsidSect="004A6E74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EB2" w:rsidRDefault="00A44EB2" w:rsidP="004A6E74">
      <w:r>
        <w:separator/>
      </w:r>
    </w:p>
  </w:endnote>
  <w:endnote w:type="continuationSeparator" w:id="0">
    <w:p w:rsidR="00A44EB2" w:rsidRDefault="00A44EB2" w:rsidP="004A6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EB2" w:rsidRDefault="00A44EB2"/>
  </w:footnote>
  <w:footnote w:type="continuationSeparator" w:id="0">
    <w:p w:rsidR="00A44EB2" w:rsidRDefault="00A44E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037"/>
    <w:multiLevelType w:val="multilevel"/>
    <w:tmpl w:val="AF38A9FC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-2"/>
        <w:w w:val="7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530AD2"/>
    <w:multiLevelType w:val="multilevel"/>
    <w:tmpl w:val="B770C76C"/>
    <w:lvl w:ilvl="0">
      <w:start w:val="1"/>
      <w:numFmt w:val="decimal"/>
      <w:lvlText w:val="%1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66"/>
        <w:position w:val="0"/>
        <w:sz w:val="17"/>
        <w:szCs w:val="17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A6E74"/>
    <w:rsid w:val="004A6E74"/>
    <w:rsid w:val="00A44EB2"/>
    <w:rsid w:val="00C0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6E7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A6E74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4A6E7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"/>
      <w:w w:val="75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sid w:val="004A6E7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2"/>
      <w:w w:val="66"/>
      <w:sz w:val="17"/>
      <w:szCs w:val="17"/>
      <w:u w:val="none"/>
    </w:rPr>
  </w:style>
  <w:style w:type="character" w:customStyle="1" w:styleId="GvdemetniImpact75pt0ptbolukbraklyor70lek">
    <w:name w:val="Gövde metni + Impact;7;5 pt;0 pt boşluk bırakılıyor;70% ölçek"/>
    <w:basedOn w:val="Gvdemetni"/>
    <w:rsid w:val="004A6E74"/>
    <w:rPr>
      <w:rFonts w:ascii="Impact" w:eastAsia="Impact" w:hAnsi="Impact" w:cs="Impact"/>
      <w:color w:val="000000"/>
      <w:spacing w:val="-2"/>
      <w:w w:val="70"/>
      <w:position w:val="0"/>
      <w:sz w:val="15"/>
      <w:szCs w:val="15"/>
      <w:lang w:val="tr-TR"/>
    </w:rPr>
  </w:style>
  <w:style w:type="character" w:customStyle="1" w:styleId="Gvdemetni2">
    <w:name w:val="Gövde metni (2)_"/>
    <w:basedOn w:val="VarsaylanParagrafYazTipi"/>
    <w:link w:val="Gvdemetni20"/>
    <w:rsid w:val="004A6E74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"/>
      <w:w w:val="70"/>
      <w:sz w:val="15"/>
      <w:szCs w:val="15"/>
      <w:u w:val="none"/>
    </w:rPr>
  </w:style>
  <w:style w:type="character" w:customStyle="1" w:styleId="Gvdemetni2LucidaSansUnicode85pt0ptbolukbraklyor66lek">
    <w:name w:val="Gövde metni (2) + Lucida Sans Unicode;8;5 pt;0 pt boşluk bırakılıyor;66% ölçek"/>
    <w:basedOn w:val="Gvdemetni2"/>
    <w:rsid w:val="004A6E74"/>
    <w:rPr>
      <w:rFonts w:ascii="Lucida Sans Unicode" w:eastAsia="Lucida Sans Unicode" w:hAnsi="Lucida Sans Unicode" w:cs="Lucida Sans Unicode"/>
      <w:color w:val="000000"/>
      <w:spacing w:val="-12"/>
      <w:w w:val="66"/>
      <w:position w:val="0"/>
      <w:sz w:val="17"/>
      <w:szCs w:val="17"/>
      <w:lang w:val="tr-TR"/>
    </w:rPr>
  </w:style>
  <w:style w:type="paragraph" w:customStyle="1" w:styleId="Balk10">
    <w:name w:val="Başlık #1"/>
    <w:basedOn w:val="Normal"/>
    <w:link w:val="Balk1"/>
    <w:rsid w:val="004A6E74"/>
    <w:pPr>
      <w:shd w:val="clear" w:color="auto" w:fill="FFFFFF"/>
      <w:spacing w:after="60" w:line="0" w:lineRule="atLeast"/>
      <w:jc w:val="right"/>
      <w:outlineLvl w:val="0"/>
    </w:pPr>
    <w:rPr>
      <w:rFonts w:ascii="Impact" w:eastAsia="Impact" w:hAnsi="Impact" w:cs="Impact"/>
      <w:spacing w:val="-2"/>
      <w:w w:val="75"/>
      <w:sz w:val="23"/>
      <w:szCs w:val="23"/>
    </w:rPr>
  </w:style>
  <w:style w:type="paragraph" w:customStyle="1" w:styleId="Gvdemetni0">
    <w:name w:val="Gövde metni"/>
    <w:basedOn w:val="Normal"/>
    <w:link w:val="Gvdemetni"/>
    <w:rsid w:val="004A6E74"/>
    <w:pPr>
      <w:shd w:val="clear" w:color="auto" w:fill="FFFFFF"/>
      <w:spacing w:before="60" w:line="245" w:lineRule="exact"/>
      <w:jc w:val="both"/>
    </w:pPr>
    <w:rPr>
      <w:rFonts w:ascii="Lucida Sans Unicode" w:eastAsia="Lucida Sans Unicode" w:hAnsi="Lucida Sans Unicode" w:cs="Lucida Sans Unicode"/>
      <w:spacing w:val="-12"/>
      <w:w w:val="66"/>
      <w:sz w:val="17"/>
      <w:szCs w:val="17"/>
    </w:rPr>
  </w:style>
  <w:style w:type="paragraph" w:customStyle="1" w:styleId="Gvdemetni20">
    <w:name w:val="Gövde metni (2)"/>
    <w:basedOn w:val="Normal"/>
    <w:link w:val="Gvdemetni2"/>
    <w:rsid w:val="004A6E74"/>
    <w:pPr>
      <w:shd w:val="clear" w:color="auto" w:fill="FFFFFF"/>
      <w:spacing w:line="245" w:lineRule="exact"/>
      <w:jc w:val="both"/>
    </w:pPr>
    <w:rPr>
      <w:rFonts w:ascii="Impact" w:eastAsia="Impact" w:hAnsi="Impact" w:cs="Impact"/>
      <w:spacing w:val="-2"/>
      <w:w w:val="7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2012-11-07T08:29:00Z</dcterms:created>
  <dcterms:modified xsi:type="dcterms:W3CDTF">2012-11-07T08:29:00Z</dcterms:modified>
</cp:coreProperties>
</file>