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6998" w:h="7865" w:hRule="exact" w:wrap="none" w:vAnchor="page" w:hAnchor="page" w:x="1926" w:y="4569"/>
        <w:widowControl w:val="0"/>
        <w:keepNext w:val="0"/>
        <w:keepLines w:val="0"/>
        <w:shd w:val="clear" w:color="auto" w:fill="auto"/>
        <w:bidi w:val="0"/>
        <w:spacing w:before="0" w:after="0"/>
        <w:ind w:left="240" w:right="620" w:firstLine="900"/>
      </w:pPr>
      <w:r>
        <w:rPr>
          <w:lang w:val="tr-TR"/>
          <w:w w:val="100"/>
          <w:color w:val="000000"/>
          <w:position w:val="0"/>
        </w:rPr>
        <w:t>Ankara ili, Yenimahalle ilçesi, Alacaatlı Mahallesi 3256. Sokak ile 3257 Cadde arasında Ankara - Eskişehir karayolunun güneyinde, Koru inşaat malzemeleri satış yerinin yanında bulunan ve içerisinde bağ evi, kuyu ve müştemilatı ile çeşitli cins ve yaştaki ağaçlan ile birlikte hissedarlar arasındaki ortaklığın giderilmesi için açık artırma suretiyle satılacaktır.</w:t>
      </w:r>
    </w:p>
    <w:p>
      <w:pPr>
        <w:pStyle w:val="Style3"/>
        <w:framePr w:w="6998" w:h="7865" w:hRule="exact" w:wrap="none" w:vAnchor="page" w:hAnchor="page" w:x="1926" w:y="4569"/>
        <w:widowControl w:val="0"/>
        <w:keepNext w:val="0"/>
        <w:keepLines w:val="0"/>
        <w:shd w:val="clear" w:color="auto" w:fill="auto"/>
        <w:bidi w:val="0"/>
        <w:spacing w:before="0" w:after="0"/>
        <w:ind w:left="240" w:right="0" w:firstLine="900"/>
      </w:pPr>
      <w:r>
        <w:rPr>
          <w:lang w:val="tr-TR"/>
          <w:w w:val="100"/>
          <w:color w:val="000000"/>
          <w:position w:val="0"/>
        </w:rPr>
        <w:t>Gayrimenkulün geni; evsafı dosyada mevcut bilirkişi raporunda açıklanmıştır.</w:t>
      </w:r>
    </w:p>
    <w:p>
      <w:pPr>
        <w:pStyle w:val="Style3"/>
        <w:framePr w:w="6998" w:h="7865" w:hRule="exact" w:wrap="none" w:vAnchor="page" w:hAnchor="page" w:x="1926" w:y="4569"/>
        <w:widowControl w:val="0"/>
        <w:keepNext w:val="0"/>
        <w:keepLines w:val="0"/>
        <w:shd w:val="clear" w:color="auto" w:fill="auto"/>
        <w:bidi w:val="0"/>
        <w:spacing w:before="0" w:after="0"/>
        <w:ind w:left="240" w:right="620" w:firstLine="900"/>
      </w:pPr>
      <w:r>
        <w:rPr>
          <w:lang w:val="tr-TR"/>
          <w:w w:val="100"/>
          <w:color w:val="000000"/>
          <w:position w:val="0"/>
        </w:rPr>
        <w:t>İMAR DURUMU : 84159 noiu parselasyon planı kapsamında kaldığı E4.00. Hmax- Serbest olup ( KENTSEL SERVİS ALANI) kullanımında kaldığı bildirilmiştir.</w:t>
      </w:r>
    </w:p>
    <w:p>
      <w:pPr>
        <w:pStyle w:val="Style3"/>
        <w:framePr w:w="6998" w:h="7865" w:hRule="exact" w:wrap="none" w:vAnchor="page" w:hAnchor="page" w:x="1926" w:y="4569"/>
        <w:widowControl w:val="0"/>
        <w:keepNext w:val="0"/>
        <w:keepLines w:val="0"/>
        <w:shd w:val="clear" w:color="auto" w:fill="auto"/>
        <w:bidi w:val="0"/>
        <w:spacing w:before="0" w:after="159"/>
        <w:ind w:left="240" w:right="620" w:firstLine="900"/>
      </w:pPr>
      <w:r>
        <w:rPr>
          <w:rStyle w:val="CharStyle5"/>
        </w:rPr>
        <w:t>NOT:</w:t>
      </w:r>
      <w:r>
        <w:rPr>
          <w:lang w:val="tr-TR"/>
          <w:w w:val="100"/>
          <w:color w:val="000000"/>
          <w:position w:val="0"/>
        </w:rPr>
        <w:t xml:space="preserve"> Taşınmaz tapu kaydında 31.01.2003 tarih ve 599 yevmiye sayılı yazı ile 124 m2’lik sahada Başkent Elektrik Dağıtım A.Ş. Genel Müdürlüğü lehine daimi irtifak hakkı şerhi mevcuttur.</w:t>
      </w:r>
    </w:p>
    <w:p>
      <w:pPr>
        <w:pStyle w:val="Style3"/>
        <w:framePr w:w="6998" w:h="7865" w:hRule="exact" w:wrap="none" w:vAnchor="page" w:hAnchor="page" w:x="1926" w:y="4569"/>
        <w:widowControl w:val="0"/>
        <w:keepNext w:val="0"/>
        <w:keepLines w:val="0"/>
        <w:shd w:val="clear" w:color="auto" w:fill="auto"/>
        <w:bidi w:val="0"/>
        <w:spacing w:before="0" w:after="77" w:line="110" w:lineRule="exact"/>
        <w:ind w:left="240" w:right="0" w:firstLine="900"/>
      </w:pPr>
      <w:r>
        <w:rPr>
          <w:lang w:val="tr-TR"/>
          <w:w w:val="100"/>
          <w:color w:val="000000"/>
          <w:position w:val="0"/>
        </w:rPr>
        <w:t xml:space="preserve">TAKDİR OLUNAN KIYMETİ: 5.205.895,OO.TL </w:t>
      </w:r>
      <w:r>
        <w:rPr>
          <w:rStyle w:val="CharStyle6"/>
        </w:rPr>
        <w:t>%</w:t>
      </w:r>
      <w:r>
        <w:rPr>
          <w:lang w:val="tr-TR"/>
          <w:w w:val="100"/>
          <w:color w:val="000000"/>
          <w:position w:val="0"/>
        </w:rPr>
        <w:t xml:space="preserve"> 18 KDV Alıcıya aittir.</w:t>
      </w:r>
    </w:p>
    <w:p>
      <w:pPr>
        <w:pStyle w:val="Style3"/>
        <w:framePr w:w="6998" w:h="7865" w:hRule="exact" w:wrap="none" w:vAnchor="page" w:hAnchor="page" w:x="1926" w:y="4569"/>
        <w:widowControl w:val="0"/>
        <w:keepNext w:val="0"/>
        <w:keepLines w:val="0"/>
        <w:shd w:val="clear" w:color="auto" w:fill="auto"/>
        <w:bidi w:val="0"/>
        <w:spacing w:before="0" w:after="0"/>
        <w:ind w:left="240" w:right="620" w:firstLine="900"/>
      </w:pPr>
      <w:r>
        <w:rPr>
          <w:lang w:val="tr-TR"/>
          <w:w w:val="100"/>
          <w:color w:val="000000"/>
          <w:position w:val="0"/>
        </w:rPr>
        <w:t>l'Satış 22.10.2012 günü, saal 11.15’den 11.25'e kadar Ankara Adliyesi 2 nolu mezat salonunda açık artırma sureti ile yapılacaktır. Bu artırmada tahmin edilen kıymetin % 60’ı ve rdçhanlı alacaklılar varsa mecmuunu ve satış ve paylaştırma masraflarını geçmek şartı ile ihale olunur. BOyle bir bedelle alıcı çıkmaz ise en çok artıranın taahhüdü baki kalmak şartıyla, gayrimenkul 01.11.2012 günü, saat 11.15’den, 11.25'e kadar Ankara Adliyesi 2 nolu mezat salonunda ikinci artırmaya çıkarılacaktır. Bu artırmada da bu miktar elde edilmemiş ise gayrimenkul en çok artıranın taahhüdü baki kulmak üzere artırma ilanında gösterilen müddet sonunda en çok attırana ihale edilecektir. Şu kadar ki. artırma bedelinin mulın tahmin edilen kıymetinin % 40 ' mı bulması ve satış isteyenin alacağına rüçhanı dan alacakların toplamından fazla olması ve bundan başka, paraya çevirme ve paylaştırma masraflarını geçmesi lazımdır. Böyle fazla bedelle alıcı çıkmaz ise satış talebi düşecektir.</w:t>
      </w:r>
    </w:p>
    <w:p>
      <w:pPr>
        <w:pStyle w:val="Style3"/>
        <w:framePr w:w="6998" w:h="7865" w:hRule="exact" w:wrap="none" w:vAnchor="page" w:hAnchor="page" w:x="1926" w:y="4569"/>
        <w:widowControl w:val="0"/>
        <w:keepNext w:val="0"/>
        <w:keepLines w:val="0"/>
        <w:shd w:val="clear" w:color="auto" w:fill="auto"/>
        <w:bidi w:val="0"/>
        <w:spacing w:before="0" w:after="0"/>
        <w:ind w:left="240" w:right="620" w:firstLine="900"/>
      </w:pPr>
      <w:r>
        <w:rPr>
          <w:lang w:val="tr-TR"/>
          <w:w w:val="100"/>
          <w:color w:val="000000"/>
          <w:position w:val="0"/>
        </w:rPr>
        <w:t xml:space="preserve">2- Açık artırmaya katılmak isteyenlerin takdir edilen kıymetin W 20 si nispetinde nakit pey akçesi (TL) yada bu miktar kadar milli bir bankanın kesin ve süresiz (Dosya numarası belirtilerek) teminat mektubunu vermeleri gerekmektedir Satış peşin para iledir. Alıcı istediği takdirde kendisine 10 günü geçmemek üzere mehil verilebilir. Katma dejler vergisi, ihale damga vergisi, alıcı adına tahakkuk edecek </w:t>
      </w:r>
      <w:r>
        <w:rPr>
          <w:rStyle w:val="CharStyle6"/>
        </w:rPr>
        <w:t>'A</w:t>
      </w:r>
      <w:r>
        <w:rPr>
          <w:lang w:val="tr-TR"/>
          <w:w w:val="100"/>
          <w:color w:val="000000"/>
          <w:position w:val="0"/>
        </w:rPr>
        <w:t xml:space="preserve"> tapu harcı satın alana ait olacaktır. Birikmiş emlak vergi bıH-çlan, Tellaliye resmi ile satıcı adına tahakkuk edecek tapu harçları satış bedelinden Ödenir. Tahliye ve teslim giderleri ihale alıcısına aittir.</w:t>
      </w:r>
    </w:p>
    <w:p>
      <w:pPr>
        <w:pStyle w:val="Style3"/>
        <w:framePr w:w="6998" w:h="7865" w:hRule="exact" w:wrap="none" w:vAnchor="page" w:hAnchor="page" w:x="1926" w:y="4569"/>
        <w:widowControl w:val="0"/>
        <w:keepNext w:val="0"/>
        <w:keepLines w:val="0"/>
        <w:shd w:val="clear" w:color="auto" w:fill="auto"/>
        <w:bidi w:val="0"/>
        <w:spacing w:before="0" w:after="0"/>
        <w:ind w:left="240" w:right="620" w:firstLine="900"/>
      </w:pPr>
      <w:r>
        <w:rPr>
          <w:lang w:val="tr-TR"/>
          <w:w w:val="100"/>
          <w:color w:val="000000"/>
          <w:position w:val="0"/>
        </w:rPr>
        <w:t>3- İpotek sahibi alacaklılarla, diğer ilgililerin, varsa irtifak hakkı sahipleri de dahil olmak üzere bu gayrimenkul üzerindeki haklarını, faiz ve masrafa dahil olan iddialarını dayanağı belgeler ile 15 gün içinde müdürlüğümüze bildirmeleri gerekir. Aksi takdirde, haklan tapu sicili ile sabit olmadıkça, paylaşmadan hariç bırakılacaktır.</w:t>
      </w:r>
    </w:p>
    <w:p>
      <w:pPr>
        <w:pStyle w:val="Style3"/>
        <w:numPr>
          <w:ilvl w:val="0"/>
          <w:numId w:val="1"/>
        </w:numPr>
        <w:framePr w:w="6998" w:h="7865" w:hRule="exact" w:wrap="none" w:vAnchor="page" w:hAnchor="page" w:x="1926" w:y="4569"/>
        <w:tabs>
          <w:tab w:leader="none" w:pos="1258" w:val="left"/>
        </w:tabs>
        <w:widowControl w:val="0"/>
        <w:keepNext w:val="0"/>
        <w:keepLines w:val="0"/>
        <w:shd w:val="clear" w:color="auto" w:fill="auto"/>
        <w:bidi w:val="0"/>
        <w:spacing w:before="0" w:after="0"/>
        <w:ind w:left="240" w:right="620" w:firstLine="900"/>
      </w:pPr>
      <w:r>
        <w:rPr>
          <w:lang w:val="tr-TR"/>
          <w:w w:val="100"/>
          <w:color w:val="000000"/>
          <w:position w:val="0"/>
        </w:rPr>
        <w:t>Taşınmazı satın alanlar, ihaleye alacağına mahsuben iştirak etmemiş olmak kaydıyla, ihalenin feshi talep edilmiş olsa bile satış bedelini derhal veya IİK 130. maddeye gOte verilen süre içinde nakden Ödemek zorundadır.</w:t>
      </w:r>
    </w:p>
    <w:p>
      <w:pPr>
        <w:pStyle w:val="Style3"/>
        <w:numPr>
          <w:ilvl w:val="0"/>
          <w:numId w:val="1"/>
        </w:numPr>
        <w:framePr w:w="6998" w:h="7865" w:hRule="exact" w:wrap="none" w:vAnchor="page" w:hAnchor="page" w:x="1926" w:y="4569"/>
        <w:tabs>
          <w:tab w:leader="none" w:pos="1282" w:val="left"/>
        </w:tabs>
        <w:widowControl w:val="0"/>
        <w:keepNext w:val="0"/>
        <w:keepLines w:val="0"/>
        <w:shd w:val="clear" w:color="auto" w:fill="auto"/>
        <w:bidi w:val="0"/>
        <w:spacing w:before="0" w:after="0"/>
        <w:ind w:left="240" w:right="620" w:firstLine="900"/>
      </w:pPr>
      <w:r>
        <w:rPr>
          <w:lang w:val="tr-TR"/>
          <w:w w:val="100"/>
          <w:color w:val="000000"/>
          <w:position w:val="0"/>
        </w:rPr>
        <w:t>Gayrimenkul kendisine ihale olunan kimse müddetinde parayı vermezse ihale kararı fesh olunarak, kendisinden evvel en yüksek teklifte bulunan kim ise arz etmiş olduğu bedelle almaya razı oluna ona, razı olmaz veya bulunmazsa hemen artırmaya çıkarılır. Bu artırma ilgililere tebliğ edilmeyip, yalnızca satıştan en az yedi gün Once yapılacak ilanla yetinilir. Bu artırmada teklifin IİK 129. maddedeki hükümlere uyması şartıyla taşınmaz en çok artırana ihale edilir. İhalenin feshine sebep olan tüm alıcılar ve kefilleri teklif ettikleri bedelle son ihale bedeli arasındaki farktan ve diger zararlardan ve ayrıca temerrüt faizinden müteselsilen sorumludur. İhale farkı ve temenflt faizi aynca hükme gerek kalmaksızın icra Müdürlüğünce tahsil olunur.</w:t>
      </w:r>
    </w:p>
    <w:p>
      <w:pPr>
        <w:pStyle w:val="Style3"/>
        <w:framePr w:w="6998" w:h="7865" w:hRule="exact" w:wrap="none" w:vAnchor="page" w:hAnchor="page" w:x="1926" w:y="4569"/>
        <w:widowControl w:val="0"/>
        <w:keepNext w:val="0"/>
        <w:keepLines w:val="0"/>
        <w:shd w:val="clear" w:color="auto" w:fill="auto"/>
        <w:bidi w:val="0"/>
        <w:spacing w:before="0" w:after="0"/>
        <w:ind w:left="240" w:right="620" w:firstLine="900"/>
      </w:pPr>
      <w:r>
        <w:rPr>
          <w:lang w:val="tr-TR"/>
          <w:w w:val="100"/>
          <w:color w:val="000000"/>
          <w:position w:val="0"/>
        </w:rPr>
        <w:t>6- Şartname ilan tarihinden itibaren Müdürlüğümüzde herkesin görebilmesi için açık olup, masrafı verildiği takdirde isteyen altoya bir Omek gönderilebilir.</w:t>
      </w:r>
    </w:p>
    <w:p>
      <w:pPr>
        <w:pStyle w:val="Style3"/>
        <w:framePr w:w="6998" w:h="7865" w:hRule="exact" w:wrap="none" w:vAnchor="page" w:hAnchor="page" w:x="1926" w:y="4569"/>
        <w:widowControl w:val="0"/>
        <w:keepNext w:val="0"/>
        <w:keepLines w:val="0"/>
        <w:shd w:val="clear" w:color="auto" w:fill="auto"/>
        <w:bidi w:val="0"/>
        <w:spacing w:before="0" w:after="159"/>
        <w:ind w:left="240" w:right="620" w:firstLine="900"/>
      </w:pPr>
      <w:r>
        <w:rPr>
          <w:lang w:val="tr-TR"/>
          <w:w w:val="100"/>
          <w:color w:val="000000"/>
          <w:position w:val="0"/>
        </w:rPr>
        <w:t>7- Satışa iştirak etmek isteyenlerin şartnameyi görmüş ve münderecatını kabul etmiş sayılacakları, başkaca bilgi almak isteyenlerin2009/l49 İş. sayılı dosya numarası ile müdürlüğümüze başvurmalan rica olunur.</w:t>
      </w:r>
    </w:p>
    <w:p>
      <w:pPr>
        <w:pStyle w:val="Style3"/>
        <w:framePr w:w="6998" w:h="7865" w:hRule="exact" w:wrap="none" w:vAnchor="page" w:hAnchor="page" w:x="1926" w:y="4569"/>
        <w:widowControl w:val="0"/>
        <w:keepNext w:val="0"/>
        <w:keepLines w:val="0"/>
        <w:shd w:val="clear" w:color="auto" w:fill="auto"/>
        <w:bidi w:val="0"/>
        <w:jc w:val="left"/>
        <w:spacing w:before="0" w:after="0" w:line="110" w:lineRule="exact"/>
        <w:ind w:left="240" w:right="0" w:firstLine="0"/>
      </w:pPr>
      <w:r>
        <w:rPr>
          <w:lang w:val="tr-TR"/>
          <w:w w:val="100"/>
          <w:color w:val="000000"/>
          <w:position w:val="0"/>
        </w:rPr>
        <w:t>(tc. If. K. 126)</w:t>
      </w:r>
    </w:p>
    <w:p>
      <w:pPr>
        <w:pStyle w:val="Style3"/>
        <w:framePr w:w="6998" w:h="7865" w:hRule="exact" w:wrap="none" w:vAnchor="page" w:hAnchor="page" w:x="1926" w:y="4569"/>
        <w:widowControl w:val="0"/>
        <w:keepNext w:val="0"/>
        <w:keepLines w:val="0"/>
        <w:shd w:val="clear" w:color="auto" w:fill="auto"/>
        <w:bidi w:val="0"/>
        <w:jc w:val="left"/>
        <w:spacing w:before="0" w:after="0" w:line="110" w:lineRule="exact"/>
        <w:ind w:left="240" w:right="0" w:firstLine="0"/>
      </w:pPr>
      <w:r>
        <w:rPr>
          <w:lang w:val="tr-TR"/>
          <w:w w:val="100"/>
          <w:color w:val="000000"/>
          <w:position w:val="0"/>
        </w:rPr>
        <w:t>(*) ilgililer tabirine irtifak hakkı sahipleri de dahildir.</w:t>
      </w:r>
    </w:p>
    <w:p>
      <w:pPr>
        <w:pStyle w:val="Style3"/>
        <w:framePr w:w="6998" w:h="7865" w:hRule="exact" w:wrap="none" w:vAnchor="page" w:hAnchor="page" w:x="1926" w:y="4569"/>
        <w:tabs>
          <w:tab w:leader="none" w:pos="4738" w:val="left"/>
        </w:tabs>
        <w:widowControl w:val="0"/>
        <w:keepNext w:val="0"/>
        <w:keepLines w:val="0"/>
        <w:shd w:val="clear" w:color="auto" w:fill="auto"/>
        <w:bidi w:val="0"/>
        <w:jc w:val="left"/>
        <w:spacing w:before="0" w:after="80" w:line="160" w:lineRule="exact"/>
        <w:ind w:left="240" w:right="0" w:firstLine="0"/>
      </w:pPr>
      <w:r>
        <w:rPr>
          <w:lang w:val="tr-TR"/>
          <w:w w:val="100"/>
          <w:color w:val="000000"/>
          <w:position w:val="0"/>
        </w:rPr>
        <w:t>Yönetmelik önıek No: 27</w:t>
        <w:tab/>
      </w:r>
      <w:r>
        <w:rPr>
          <w:rStyle w:val="CharStyle9"/>
        </w:rPr>
        <w:t>BaSin No: 56396</w:t>
      </w:r>
    </w:p>
    <w:p>
      <w:pPr>
        <w:pStyle w:val="Style10"/>
        <w:framePr w:w="6998" w:h="7865" w:hRule="exact" w:wrap="none" w:vAnchor="page" w:hAnchor="page" w:x="1926" w:y="4569"/>
        <w:widowControl w:val="0"/>
        <w:keepNext w:val="0"/>
        <w:keepLines w:val="0"/>
        <w:shd w:val="clear" w:color="auto" w:fill="auto"/>
        <w:bidi w:val="0"/>
        <w:jc w:val="left"/>
        <w:spacing w:before="0" w:after="0" w:line="160" w:lineRule="exact"/>
        <w:ind w:left="240" w:right="0" w:firstLine="0"/>
      </w:pPr>
      <w:r>
        <w:fldChar w:fldCharType="begin"/>
      </w:r>
      <w:r>
        <w:rPr>
          <w:color w:val="000000"/>
        </w:rPr>
        <w:instrText> HYPERLINK "http://www.bik.gov.tr" </w:instrText>
      </w:r>
      <w:r>
        <w:fldChar w:fldCharType="separate"/>
      </w:r>
      <w:bookmarkStart w:id="0" w:name="bookmark0"/>
      <w:r>
        <w:rPr>
          <w:rStyle w:val="Hyperlink"/>
          <w:w w:val="100"/>
          <w:position w:val="0"/>
        </w:rPr>
        <w:t>www.bik.gov.tr</w:t>
      </w:r>
      <w:bookmarkEnd w:id="0"/>
      <w:r>
        <w:fldChar w:fldCharType="end"/>
      </w:r>
    </w:p>
    <w:p>
      <w:pPr>
        <w:pStyle w:val="Style12"/>
        <w:framePr w:wrap="none" w:vAnchor="page" w:hAnchor="page" w:x="1926" w:y="12607"/>
        <w:tabs>
          <w:tab w:leader="none" w:pos="2928" w:val="left"/>
        </w:tabs>
        <w:widowControl w:val="0"/>
        <w:keepNext w:val="0"/>
        <w:keepLines w:val="0"/>
        <w:shd w:val="clear" w:color="auto" w:fill="000000"/>
        <w:bidi w:val="0"/>
        <w:jc w:val="left"/>
        <w:spacing w:before="0" w:after="0" w:line="80" w:lineRule="exact"/>
        <w:ind w:left="1920" w:right="3710" w:firstLine="0"/>
      </w:pPr>
      <w:r>
        <w:rPr>
          <w:rStyle w:val="CharStyle14"/>
        </w:rPr>
        <w:t>«:İ S</w:t>
        <w:tab/>
        <w:t>O-■ : -i</w:t>
      </w:r>
    </w:p>
    <w:p>
      <w:pPr>
        <w:pStyle w:val="Style15"/>
        <w:framePr w:wrap="none" w:vAnchor="page" w:hAnchor="page" w:x="6222" w:y="12473"/>
        <w:widowControl w:val="0"/>
        <w:keepNext w:val="0"/>
        <w:keepLines w:val="0"/>
        <w:shd w:val="clear" w:color="auto" w:fill="auto"/>
        <w:bidi w:val="0"/>
        <w:jc w:val="left"/>
        <w:spacing w:before="0" w:after="0" w:line="150" w:lineRule="exact"/>
        <w:ind w:left="100" w:right="0" w:firstLine="0"/>
      </w:pPr>
      <w:r>
        <w:rPr>
          <w:lang w:val="tr-TR"/>
          <w:vertAlign w:val="superscript"/>
          <w:w w:val="100"/>
          <w:spacing w:val="0"/>
          <w:color w:val="000000"/>
          <w:position w:val="0"/>
        </w:rPr>
        <w:t>p</w:t>
      </w:r>
      <w:r>
        <w:rPr>
          <w:lang w:val="tr-TR"/>
          <w:w w:val="100"/>
          <w:spacing w:val="0"/>
          <w:color w:val="000000"/>
          <w:position w:val="0"/>
        </w:rPr>
        <w:t>’de</w:t>
      </w:r>
    </w:p>
    <w:p>
      <w:pPr>
        <w:pStyle w:val="Style17"/>
        <w:framePr w:wrap="none" w:vAnchor="page" w:hAnchor="page" w:x="9668" w:y="8026"/>
        <w:widowControl w:val="0"/>
        <w:keepNext w:val="0"/>
        <w:keepLines w:val="0"/>
        <w:shd w:val="clear" w:color="auto" w:fill="auto"/>
        <w:bidi w:val="0"/>
        <w:jc w:val="left"/>
        <w:spacing w:before="0" w:after="0" w:line="320" w:lineRule="exact"/>
        <w:ind w:left="100" w:right="0" w:firstLine="0"/>
      </w:pPr>
      <w:r>
        <w:rPr>
          <w:lang w:val="tr-TR"/>
          <w:rFonts w:ascii="Courier New" w:eastAsia="Courier New" w:hAnsi="Courier New" w:cs="Courier New"/>
          <w:w w:val="100"/>
          <w:spacing w:val="0"/>
          <w:color w:val="000000"/>
          <w:position w:val="0"/>
        </w:rPr>
        <w:t>m</w:t>
      </w:r>
    </w:p>
    <w:p>
      <w:pPr>
        <w:widowControl w:val="0"/>
        <w:rPr>
          <w:sz w:val="2"/>
          <w:szCs w:val="2"/>
        </w:rPr>
      </w:pPr>
    </w:p>
    <w:sectPr>
      <w:footnotePr>
        <w:pos w:val="pageBottom"/>
        <w:numFmt w:val="decimal"/>
        <w:numRestart w:val="continuous"/>
      </w:footnotePr>
      <w:pgSz w:w="11909" w:h="16834"/>
      <w:pgMar w:top="0" w:left="0" w:right="0" w:bottom="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4"/>
      <w:numFmt w:val="decimal"/>
      <w:lvlText w:val="%1-"/>
      <w:rPr>
        <w:lang w:val="tr-TR"/>
        <w:b w:val="0"/>
        <w:bCs w:val="0"/>
        <w:i w:val="0"/>
        <w:iCs w:val="0"/>
        <w:u w:val="none"/>
        <w:strike w:val="0"/>
        <w:smallCaps w:val="0"/>
        <w:sz w:val="11"/>
        <w:szCs w:val="11"/>
        <w:rFonts w:ascii="Times New Roman" w:eastAsia="Times New Roman" w:hAnsi="Times New Roman" w:cs="Times New Roman"/>
        <w:w w:val="100"/>
        <w:spacing w:val="-1"/>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footnotePr>
      <w:pos w:val="pageBottom"/>
      <w:numFmt w:val="decimal"/>
      <w:numRestart w:val="continuous"/>
    </w:footnotePr>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Courier New" w:eastAsia="Courier New" w:hAnsi="Courier New" w:cs="Courier New"/>
        <w:sz w:val="24"/>
        <w:szCs w:val="24"/>
        <w:lang w:val="tr-TR"/>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tr-TR"/>
      <w:sz w:val="24"/>
      <w:szCs w:val="24"/>
      <w:rFonts w:ascii="Courier New" w:eastAsia="Courier New" w:hAnsi="Courier New" w:cs="Courier New"/>
      <w:w w:val="100"/>
      <w:spacing w:val="0"/>
      <w:color w:val="000000"/>
      <w:position w:val="0"/>
    </w:rPr>
  </w:style>
  <w:style w:type="character" w:default="1" w:styleId="DefaultParagraphFont">
    <w:name w:val="Default Paragraph Font"/>
    <w:rPr>
      <w:lang w:val="tr-TR"/>
      <w:sz w:val="24"/>
      <w:szCs w:val="24"/>
      <w:rFonts w:ascii="Courier New" w:eastAsia="Courier New" w:hAnsi="Courier New" w:cs="Courier New"/>
      <w:w w:val="100"/>
      <w:spacing w:val="0"/>
      <w:color w:val="000000"/>
      <w:position w:val="0"/>
    </w:rPr>
  </w:style>
  <w:style w:type="character" w:styleId="Hyperlink">
    <w:name w:val="Hyperlink"/>
    <w:basedOn w:val="DefaultParagraphFont"/>
    <w:rPr>
      <w:u w:val="single"/>
      <w:color w:val="000080"/>
    </w:rPr>
  </w:style>
  <w:style w:type="character" w:customStyle="1" w:styleId="CharStyle4">
    <w:name w:val="Gövde metni_"/>
    <w:basedOn w:val="DefaultParagraphFont"/>
    <w:link w:val="Style3"/>
    <w:rPr>
      <w:b w:val="0"/>
      <w:bCs w:val="0"/>
      <w:i w:val="0"/>
      <w:iCs w:val="0"/>
      <w:u w:val="none"/>
      <w:strike w:val="0"/>
      <w:smallCaps w:val="0"/>
      <w:sz w:val="11"/>
      <w:szCs w:val="11"/>
      <w:rFonts w:ascii="Times New Roman" w:eastAsia="Times New Roman" w:hAnsi="Times New Roman" w:cs="Times New Roman"/>
      <w:spacing w:val="-1"/>
    </w:rPr>
  </w:style>
  <w:style w:type="character" w:customStyle="1" w:styleId="CharStyle5">
    <w:name w:val="Gövde metni + 1 pt boşluk bırakılıyor"/>
    <w:basedOn w:val="CharStyle4"/>
    <w:rPr>
      <w:lang w:val="tr-TR"/>
      <w:w w:val="100"/>
      <w:spacing w:val="39"/>
      <w:color w:val="000000"/>
      <w:position w:val="0"/>
    </w:rPr>
  </w:style>
  <w:style w:type="character" w:customStyle="1" w:styleId="CharStyle6">
    <w:name w:val="Gövde metni + İtalik,0 pt boşluk bırakılıyor"/>
    <w:basedOn w:val="CharStyle4"/>
    <w:rPr>
      <w:lang w:val="tr-TR"/>
      <w:i/>
      <w:iCs/>
      <w:w w:val="100"/>
      <w:spacing w:val="-8"/>
      <w:color w:val="000000"/>
      <w:position w:val="0"/>
    </w:rPr>
  </w:style>
  <w:style w:type="character" w:customStyle="1" w:styleId="CharStyle7">
    <w:name w:val="Gövde metni + Kalın,0 pt boşluk bırakılıyor"/>
    <w:basedOn w:val="CharStyle4"/>
    <w:rPr>
      <w:lang w:val="1024"/>
      <w:b/>
      <w:bCs/>
      <w:w w:val="100"/>
      <w:spacing w:val="0"/>
      <w:color w:val="000000"/>
      <w:position w:val="0"/>
    </w:rPr>
  </w:style>
  <w:style w:type="character" w:customStyle="1" w:styleId="CharStyle8">
    <w:name w:val="Gövde metni + 4 pt,0 pt boşluk bırakılıyor"/>
    <w:basedOn w:val="CharStyle4"/>
    <w:rPr>
      <w:lang w:val="1024"/>
      <w:sz w:val="8"/>
      <w:szCs w:val="8"/>
      <w:w w:val="100"/>
      <w:spacing w:val="0"/>
      <w:color w:val="000000"/>
      <w:position w:val="0"/>
    </w:rPr>
  </w:style>
  <w:style w:type="character" w:customStyle="1" w:styleId="CharStyle9">
    <w:name w:val="Gövde metni + 8 pt,0 pt boşluk bırakılıyor"/>
    <w:basedOn w:val="CharStyle4"/>
    <w:rPr>
      <w:lang w:val="tr-TR"/>
      <w:sz w:val="16"/>
      <w:szCs w:val="16"/>
      <w:w w:val="100"/>
      <w:spacing w:val="-2"/>
      <w:color w:val="000000"/>
      <w:position w:val="0"/>
    </w:rPr>
  </w:style>
  <w:style w:type="character" w:customStyle="1" w:styleId="CharStyle11">
    <w:name w:val="Başlık #1_"/>
    <w:basedOn w:val="DefaultParagraphFont"/>
    <w:link w:val="Style10"/>
    <w:rPr>
      <w:lang w:val="en-US"/>
      <w:b w:val="0"/>
      <w:bCs w:val="0"/>
      <w:i w:val="0"/>
      <w:iCs w:val="0"/>
      <w:u w:val="none"/>
      <w:strike w:val="0"/>
      <w:smallCaps w:val="0"/>
      <w:sz w:val="16"/>
      <w:szCs w:val="16"/>
      <w:rFonts w:ascii="Times New Roman" w:eastAsia="Times New Roman" w:hAnsi="Times New Roman" w:cs="Times New Roman"/>
      <w:spacing w:val="-2"/>
    </w:rPr>
  </w:style>
  <w:style w:type="character" w:customStyle="1" w:styleId="CharStyle13">
    <w:name w:val="Gövde metni (2)_"/>
    <w:basedOn w:val="DefaultParagraphFont"/>
    <w:link w:val="Style12"/>
    <w:rPr>
      <w:b w:val="0"/>
      <w:bCs w:val="0"/>
      <w:i w:val="0"/>
      <w:iCs w:val="0"/>
      <w:u w:val="none"/>
      <w:strike w:val="0"/>
      <w:smallCaps w:val="0"/>
      <w:sz w:val="8"/>
      <w:szCs w:val="8"/>
      <w:rFonts w:ascii="Times New Roman" w:eastAsia="Times New Roman" w:hAnsi="Times New Roman" w:cs="Times New Roman"/>
      <w:w w:val="30"/>
      <w:spacing w:val="39"/>
    </w:rPr>
  </w:style>
  <w:style w:type="character" w:customStyle="1" w:styleId="CharStyle14">
    <w:name w:val="Gövde metni (2)"/>
    <w:basedOn w:val="CharStyle13"/>
    <w:rPr>
      <w:lang w:val="tr-TR"/>
      <w:color w:val="FFFFFF"/>
      <w:position w:val="0"/>
    </w:rPr>
  </w:style>
  <w:style w:type="character" w:customStyle="1" w:styleId="CharStyle16">
    <w:name w:val="Gövde metni (4)_"/>
    <w:basedOn w:val="DefaultParagraphFont"/>
    <w:link w:val="Style15"/>
    <w:rPr>
      <w:b w:val="0"/>
      <w:bCs w:val="0"/>
      <w:i w:val="0"/>
      <w:iCs w:val="0"/>
      <w:u w:val="none"/>
      <w:strike w:val="0"/>
      <w:smallCaps w:val="0"/>
      <w:sz w:val="15"/>
      <w:szCs w:val="15"/>
      <w:rFonts w:ascii="Calibri" w:eastAsia="Calibri" w:hAnsi="Calibri" w:cs="Calibri"/>
    </w:rPr>
  </w:style>
  <w:style w:type="character" w:customStyle="1" w:styleId="CharStyle18">
    <w:name w:val="Gövde metni (3)_"/>
    <w:basedOn w:val="DefaultParagraphFont"/>
    <w:link w:val="Style17"/>
    <w:rPr>
      <w:lang w:val="1024"/>
      <w:b w:val="0"/>
      <w:bCs w:val="0"/>
      <w:i/>
      <w:iCs/>
      <w:u w:val="none"/>
      <w:strike w:val="0"/>
      <w:smallCaps w:val="0"/>
      <w:sz w:val="32"/>
      <w:szCs w:val="32"/>
    </w:rPr>
  </w:style>
  <w:style w:type="paragraph" w:customStyle="1" w:styleId="Style3">
    <w:name w:val="Gövde metni"/>
    <w:basedOn w:val="Normal"/>
    <w:link w:val="CharStyle4"/>
    <w:pPr>
      <w:widowControl w:val="0"/>
      <w:shd w:val="clear" w:color="auto" w:fill="FFFFFF"/>
      <w:jc w:val="both"/>
      <w:spacing w:before="120" w:line="158" w:lineRule="exact"/>
    </w:pPr>
    <w:rPr>
      <w:b w:val="0"/>
      <w:bCs w:val="0"/>
      <w:i w:val="0"/>
      <w:iCs w:val="0"/>
      <w:u w:val="none"/>
      <w:strike w:val="0"/>
      <w:smallCaps w:val="0"/>
      <w:sz w:val="11"/>
      <w:szCs w:val="11"/>
      <w:rFonts w:ascii="Times New Roman" w:eastAsia="Times New Roman" w:hAnsi="Times New Roman" w:cs="Times New Roman"/>
      <w:spacing w:val="-1"/>
    </w:rPr>
  </w:style>
  <w:style w:type="paragraph" w:customStyle="1" w:styleId="Style10">
    <w:name w:val="Başlık #1"/>
    <w:basedOn w:val="Normal"/>
    <w:link w:val="CharStyle11"/>
    <w:pPr>
      <w:widowControl w:val="0"/>
      <w:shd w:val="clear" w:color="auto" w:fill="FFFFFF"/>
      <w:outlineLvl w:val="0"/>
      <w:spacing w:before="120" w:after="120" w:line="0" w:lineRule="exact"/>
    </w:pPr>
    <w:rPr>
      <w:lang w:val="en-US"/>
      <w:b w:val="0"/>
      <w:bCs w:val="0"/>
      <w:i w:val="0"/>
      <w:iCs w:val="0"/>
      <w:u w:val="none"/>
      <w:strike w:val="0"/>
      <w:smallCaps w:val="0"/>
      <w:sz w:val="16"/>
      <w:szCs w:val="16"/>
      <w:rFonts w:ascii="Times New Roman" w:eastAsia="Times New Roman" w:hAnsi="Times New Roman" w:cs="Times New Roman"/>
      <w:spacing w:val="-2"/>
    </w:rPr>
  </w:style>
  <w:style w:type="paragraph" w:customStyle="1" w:styleId="Style12">
    <w:name w:val="Gövde metni (2)"/>
    <w:basedOn w:val="Normal"/>
    <w:link w:val="CharStyle13"/>
    <w:pPr>
      <w:widowControl w:val="0"/>
      <w:shd w:val="clear" w:color="auto" w:fill="FFFFFF"/>
      <w:spacing w:line="0" w:lineRule="exact"/>
    </w:pPr>
    <w:rPr>
      <w:b w:val="0"/>
      <w:bCs w:val="0"/>
      <w:i w:val="0"/>
      <w:iCs w:val="0"/>
      <w:u w:val="none"/>
      <w:strike w:val="0"/>
      <w:smallCaps w:val="0"/>
      <w:sz w:val="8"/>
      <w:szCs w:val="8"/>
      <w:rFonts w:ascii="Times New Roman" w:eastAsia="Times New Roman" w:hAnsi="Times New Roman" w:cs="Times New Roman"/>
      <w:w w:val="30"/>
      <w:spacing w:val="39"/>
    </w:rPr>
  </w:style>
  <w:style w:type="paragraph" w:customStyle="1" w:styleId="Style15">
    <w:name w:val="Gövde metni (4)"/>
    <w:basedOn w:val="Normal"/>
    <w:link w:val="CharStyle16"/>
    <w:pPr>
      <w:widowControl w:val="0"/>
      <w:shd w:val="clear" w:color="auto" w:fill="FFFFFF"/>
      <w:spacing w:line="0" w:lineRule="exact"/>
    </w:pPr>
    <w:rPr>
      <w:b w:val="0"/>
      <w:bCs w:val="0"/>
      <w:i w:val="0"/>
      <w:iCs w:val="0"/>
      <w:u w:val="none"/>
      <w:strike w:val="0"/>
      <w:smallCaps w:val="0"/>
      <w:sz w:val="15"/>
      <w:szCs w:val="15"/>
      <w:rFonts w:ascii="Calibri" w:eastAsia="Calibri" w:hAnsi="Calibri" w:cs="Calibri"/>
    </w:rPr>
  </w:style>
  <w:style w:type="paragraph" w:customStyle="1" w:styleId="Style17">
    <w:name w:val="Gövde metni (3)"/>
    <w:basedOn w:val="Normal"/>
    <w:link w:val="CharStyle18"/>
    <w:pPr>
      <w:widowControl w:val="0"/>
      <w:shd w:val="clear" w:color="auto" w:fill="FFFFFF"/>
      <w:spacing w:line="0" w:lineRule="exact"/>
    </w:pPr>
    <w:rPr>
      <w:lang w:val="1024"/>
      <w:b w:val="0"/>
      <w:bCs w:val="0"/>
      <w:i/>
      <w:iCs/>
      <w:u w:val="none"/>
      <w:strike w:val="0"/>
      <w:smallCaps w:val="0"/>
      <w:sz w:val="32"/>
      <w:szCs w:val="32"/>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