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9" w:rsidRDefault="00765354">
      <w:pPr>
        <w:pStyle w:val="Balk10"/>
        <w:framePr w:w="7752" w:h="896" w:hRule="exact" w:wrap="none" w:vAnchor="page" w:hAnchor="page" w:x="4546" w:y="3644"/>
        <w:shd w:val="clear" w:color="auto" w:fill="auto"/>
      </w:pPr>
      <w:bookmarkStart w:id="0" w:name="bookmark0"/>
      <w:r>
        <w:t>TOKAT-TURHAL-ZİLE-PAZAR KATI ATIK YÖNETİM BİRLİĞİNDEN</w:t>
      </w:r>
      <w:bookmarkEnd w:id="0"/>
    </w:p>
    <w:p w:rsidR="00745C39" w:rsidRDefault="00765354">
      <w:pPr>
        <w:pStyle w:val="Balk20"/>
        <w:framePr w:w="7752" w:h="896" w:hRule="exact" w:wrap="none" w:vAnchor="page" w:hAnchor="page" w:x="4546" w:y="3644"/>
        <w:shd w:val="clear" w:color="auto" w:fill="auto"/>
        <w:spacing w:after="0"/>
      </w:pPr>
      <w:bookmarkStart w:id="1" w:name="bookmark1"/>
      <w:r>
        <w:t>IH Al E İLANI</w:t>
      </w:r>
      <w:bookmarkEnd w:id="1"/>
    </w:p>
    <w:p w:rsidR="00745C39" w:rsidRDefault="00765354">
      <w:pPr>
        <w:pStyle w:val="Gvdemetni20"/>
        <w:framePr w:w="7752" w:h="15494" w:hRule="exact" w:wrap="none" w:vAnchor="page" w:hAnchor="page" w:x="4546" w:y="4724"/>
        <w:shd w:val="clear" w:color="auto" w:fill="auto"/>
        <w:spacing w:before="0" w:line="140" w:lineRule="exact"/>
        <w:ind w:left="20"/>
      </w:pPr>
      <w:r>
        <w:t>1 -İdarenin,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1"/>
        </w:numPr>
        <w:shd w:val="clear" w:color="auto" w:fill="auto"/>
        <w:tabs>
          <w:tab w:val="left" w:pos="337"/>
        </w:tabs>
        <w:spacing w:line="170" w:lineRule="exact"/>
        <w:ind w:left="20"/>
      </w:pPr>
      <w:r>
        <w:t>Adı: Tokat-Turhal-Zile-Pazar Katı Atık Yönetim Birliği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1"/>
        </w:numPr>
        <w:shd w:val="clear" w:color="auto" w:fill="auto"/>
        <w:tabs>
          <w:tab w:val="left" w:pos="342"/>
        </w:tabs>
        <w:spacing w:line="182" w:lineRule="exact"/>
        <w:ind w:left="20" w:right="20"/>
      </w:pPr>
      <w:r>
        <w:t xml:space="preserve">Adresi: </w:t>
      </w:r>
      <w:proofErr w:type="gramStart"/>
      <w:r>
        <w:t>Kabe</w:t>
      </w:r>
      <w:proofErr w:type="gramEnd"/>
      <w:r>
        <w:t>-i Mescit Mahallesi Gaziosmanpaşa Bulvarı No:158/4 (</w:t>
      </w:r>
      <w:proofErr w:type="spellStart"/>
      <w:r>
        <w:t>Başçıoğlu</w:t>
      </w:r>
      <w:proofErr w:type="spellEnd"/>
      <w:r>
        <w:t xml:space="preserve"> İş Merkezi Kat:4 Denizbank Karşısı) 60100 - </w:t>
      </w:r>
      <w:r>
        <w:t>TOKAT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1"/>
        </w:numPr>
        <w:shd w:val="clear" w:color="auto" w:fill="auto"/>
        <w:tabs>
          <w:tab w:val="left" w:pos="337"/>
        </w:tabs>
        <w:spacing w:line="170" w:lineRule="exact"/>
        <w:ind w:left="20"/>
      </w:pPr>
      <w:r>
        <w:t>Telefon ve Faks: 0356 212 03 35 - 0356 212 03 35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31"/>
        </w:tabs>
        <w:spacing w:line="187" w:lineRule="exact"/>
        <w:ind w:left="20" w:right="20"/>
      </w:pPr>
      <w:r>
        <w:t xml:space="preserve">Niteliği, Türü ve </w:t>
      </w:r>
      <w:proofErr w:type="gramStart"/>
      <w:r>
        <w:t>Miktarı : Tokat</w:t>
      </w:r>
      <w:proofErr w:type="gramEnd"/>
      <w:r>
        <w:t>-Turhal-Zile-Pazar Katı Atık Yönetim Birliği Katı atık düzenli depo alanının kiraya verilerek işletilmesi, atıkların depolaması ve katı atıkların yeniden değerlendirilm</w:t>
      </w:r>
      <w:r>
        <w:t>esi ve değerlendirme tesislerinde geri kazanım ilkesine göre elektrik enerjisi ve/veya LFG-CNG yakıt gazına dönüştürme sistemi ve/veya teknolojik gelişmelere göre kurulacak yeni sistemlerin kurulması ve işletilmesi işleri 2886 sayılı Devlet İhale Kanununun</w:t>
      </w:r>
      <w:r>
        <w:t xml:space="preserve"> 35.(c) maddesi gereğince açık teklif usulü artırma sureti ile 29 (</w:t>
      </w:r>
      <w:proofErr w:type="spellStart"/>
      <w:r>
        <w:t>yirmidokuz</w:t>
      </w:r>
      <w:proofErr w:type="spellEnd"/>
      <w:r>
        <w:t>) yıllığına ihale edilmesi işidir. Tokat-Turhal-Zile-Pazar Katı Atık Birliği Encümenince 2886 sayılı Devlet İhale Kanununun 35. (c) maddesi gereği yıllık 30.000,00 TL (</w:t>
      </w:r>
      <w:proofErr w:type="spellStart"/>
      <w:r>
        <w:t>otuzbinTL</w:t>
      </w:r>
      <w:proofErr w:type="spellEnd"/>
      <w:r>
        <w:t xml:space="preserve">) </w:t>
      </w:r>
      <w:r>
        <w:t>artırma bedeli üzerinden açık teklif usulü ile yapılacaktır.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17"/>
        </w:tabs>
        <w:spacing w:line="187" w:lineRule="exact"/>
        <w:ind w:left="20" w:right="20"/>
      </w:pPr>
      <w:r>
        <w:t>İşin Süresi: İşletmeci sözleşmenin imzalanmasının tebliğinden sonra 10 (on) gün içerisinde yer teslimi yapı</w:t>
      </w:r>
      <w:r>
        <w:softHyphen/>
        <w:t xml:space="preserve">lacaktır. İşletmeci yer teslim tarihinden itibaren katı atık tesisinin çöp depolama </w:t>
      </w:r>
      <w:r>
        <w:t xml:space="preserve">işine başlamak için gerekli yasal işlemlere başvuracak ve yasal işlemler </w:t>
      </w:r>
      <w:proofErr w:type="gramStart"/>
      <w:r>
        <w:t>(</w:t>
      </w:r>
      <w:proofErr w:type="gramEnd"/>
      <w:r>
        <w:t>izin. Lisans vb.</w:t>
      </w:r>
      <w:proofErr w:type="gramStart"/>
      <w:r>
        <w:t>)</w:t>
      </w:r>
      <w:proofErr w:type="gramEnd"/>
      <w:r>
        <w:t xml:space="preserve"> tamamlandıktan 10 gün sonra tesisin depolama işine başlayacaktır. Enerji üretim işine ise gerekli izin başvurularını yapacak ve EPDK izini </w:t>
      </w:r>
      <w:proofErr w:type="gramStart"/>
      <w:r>
        <w:t>dahil</w:t>
      </w:r>
      <w:proofErr w:type="gramEnd"/>
      <w:r>
        <w:t xml:space="preserve"> olmak kaydı ile ger</w:t>
      </w:r>
      <w:r>
        <w:t>ekli tüm izinleri aldıktan sonra en geç 450 (</w:t>
      </w:r>
      <w:proofErr w:type="spellStart"/>
      <w:r>
        <w:t>dörtyüzelli</w:t>
      </w:r>
      <w:proofErr w:type="spellEnd"/>
      <w:r>
        <w:t>) gün içinde tesisin kurulumunu tamamlayacaktır. Enerji üretim işinde ek süre taleplerini değerlendirmede ve nihai kararlarında Birlik Encümeni yetkilidir.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60"/>
        </w:tabs>
        <w:spacing w:line="192" w:lineRule="exact"/>
        <w:ind w:left="20" w:right="20"/>
      </w:pPr>
      <w:proofErr w:type="gramStart"/>
      <w:r>
        <w:t>işin</w:t>
      </w:r>
      <w:proofErr w:type="gramEnd"/>
      <w:r>
        <w:t xml:space="preserve"> tahmin edilen bedeli 870.000,00 TL(</w:t>
      </w:r>
      <w:proofErr w:type="spellStart"/>
      <w:r>
        <w:t>seki</w:t>
      </w:r>
      <w:r>
        <w:t>zyüzyetmibintürklirası</w:t>
      </w:r>
      <w:proofErr w:type="spellEnd"/>
      <w:r>
        <w:t>) olup, Geçici teminat miktarı 26.100,00 TL.(</w:t>
      </w:r>
      <w:proofErr w:type="spellStart"/>
      <w:r>
        <w:t>yirmialtıbinyüztürklirası</w:t>
      </w:r>
      <w:proofErr w:type="spellEnd"/>
      <w:r>
        <w:t>)'</w:t>
      </w:r>
      <w:proofErr w:type="spellStart"/>
      <w:r>
        <w:t>dir</w:t>
      </w:r>
      <w:proofErr w:type="spellEnd"/>
      <w:r>
        <w:t>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327"/>
        </w:tabs>
        <w:spacing w:line="187" w:lineRule="exact"/>
        <w:ind w:left="20" w:right="20"/>
      </w:pPr>
      <w:r>
        <w:t xml:space="preserve">İhale Yeri, Tarihi ve usulü: İhale 27.12.2012 Perşembe günü saat 14:00'da Kabe-i Mescit Mahallesi Gaziosmanpaşa Bulvarı No:158 </w:t>
      </w:r>
      <w:proofErr w:type="spellStart"/>
      <w:r>
        <w:t>Başçıoğlu</w:t>
      </w:r>
      <w:proofErr w:type="spellEnd"/>
      <w:r>
        <w:t xml:space="preserve"> İş Merkezi Kat:4 adr</w:t>
      </w:r>
      <w:r>
        <w:t>esinde bulunan Tokat-Turhal-Zile-Pazar Katı Atık Yönetim Birliği Encümen Toplantı Salonunda (Birlik Encümen Toplantı Salonu) 2886 sayılı Devlet İhale Kanununun 35. (</w:t>
      </w:r>
      <w:proofErr w:type="spellStart"/>
      <w:proofErr w:type="gramStart"/>
      <w:r>
        <w:t>cj</w:t>
      </w:r>
      <w:proofErr w:type="spellEnd"/>
      <w:r>
        <w:t>,maddesi</w:t>
      </w:r>
      <w:proofErr w:type="gramEnd"/>
      <w:r>
        <w:t xml:space="preserve"> gereği yıllık 30.000,00 TL (</w:t>
      </w:r>
      <w:proofErr w:type="spellStart"/>
      <w:r>
        <w:t>otuzbinTL</w:t>
      </w:r>
      <w:proofErr w:type="spellEnd"/>
      <w:r>
        <w:t>) artırma bedeli üzerinden açık teklif usul</w:t>
      </w:r>
      <w:r>
        <w:t>ü ile yapılacaktır.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17"/>
        </w:tabs>
        <w:spacing w:line="221" w:lineRule="exact"/>
        <w:ind w:left="20"/>
      </w:pPr>
      <w:r>
        <w:t>İhaleye Girebilme Koşulları: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356"/>
        </w:tabs>
        <w:spacing w:line="221" w:lineRule="exact"/>
        <w:ind w:left="20"/>
      </w:pPr>
      <w:r>
        <w:t>Kanuni ikametgâhı olması,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1129"/>
        </w:tabs>
        <w:spacing w:line="221" w:lineRule="exact"/>
        <w:ind w:left="20"/>
      </w:pPr>
      <w:r>
        <w:t>Türkiye'de</w:t>
      </w:r>
      <w:r>
        <w:tab/>
        <w:t>tebligat için adres göstermesi,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346"/>
        </w:tabs>
        <w:spacing w:line="221" w:lineRule="exact"/>
        <w:ind w:left="20"/>
      </w:pPr>
      <w:r>
        <w:t>Mevzuatı gereği kayıtlı olduğu Ticaret ve/veya Sanayi Odası veya Meslek Odası belgesi,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529"/>
        </w:tabs>
        <w:spacing w:line="192" w:lineRule="exact"/>
        <w:ind w:left="20" w:right="20"/>
      </w:pPr>
      <w:r>
        <w:t xml:space="preserve">Gerçek kişi olması halinde, ilk ilan veya ihale </w:t>
      </w:r>
      <w:r>
        <w:t>tarihinin içerisinde bulunduğu yılda alınmış ilgisine göre Ticaret ve/veya Sanayi Odasına veya ilgili Meslek Odasına kayıtlı olduğunu gösterir belge,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500"/>
        </w:tabs>
        <w:spacing w:line="187" w:lineRule="exact"/>
        <w:ind w:left="20" w:right="20"/>
      </w:pPr>
      <w:r>
        <w:t>Tüzel kişi olması halinde, mevzuatı gereği tüzel kişiliğin siciline kayıtlı bulunduğu Ticaret ve/veya Sana</w:t>
      </w:r>
      <w:r>
        <w:t>yi Odasından, ilk ilan veya ihale tarihinin içerisinde bulunduğu yılda alınmış, tüzel kişiliğin sicile kayıtlı olduğuna dair belge,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490"/>
        </w:tabs>
        <w:spacing w:line="187" w:lineRule="exact"/>
        <w:ind w:left="20"/>
      </w:pPr>
      <w:r>
        <w:t>Ortak girişim olması halinde ortak girişimi oluşturan gerçek veya tüzel kişilerin her birinin (6.3.1) ve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3"/>
        </w:numPr>
        <w:shd w:val="clear" w:color="auto" w:fill="auto"/>
        <w:tabs>
          <w:tab w:val="left" w:pos="529"/>
        </w:tabs>
        <w:spacing w:line="187" w:lineRule="exact"/>
        <w:ind w:left="20" w:right="20"/>
      </w:pPr>
      <w:proofErr w:type="gramStart"/>
      <w:r>
        <w:t>deki</w:t>
      </w:r>
      <w:proofErr w:type="gramEnd"/>
      <w:r>
        <w:t xml:space="preserve"> esaslara göre </w:t>
      </w:r>
      <w:r>
        <w:t xml:space="preserve">temin edecekleri belge. </w:t>
      </w:r>
      <w:proofErr w:type="gramStart"/>
      <w:r>
        <w:t>(</w:t>
      </w:r>
      <w:proofErr w:type="gramEnd"/>
      <w:r>
        <w:t xml:space="preserve">Ortak girişimciler ihaleden sonra birlikte şirket kurabilirler. Ancak idareye karşı ortaklar ve şirket birlikte, ayrı </w:t>
      </w:r>
      <w:proofErr w:type="spellStart"/>
      <w:r>
        <w:t>ayrı</w:t>
      </w:r>
      <w:proofErr w:type="spellEnd"/>
      <w:r>
        <w:t xml:space="preserve"> sözleşme ve şartnamelerin tamamından sorumludurlar. Şirket kurulması için idarenin onayının alınması mecburi</w:t>
      </w:r>
      <w:r>
        <w:t>yeti vardır.</w:t>
      </w:r>
      <w:proofErr w:type="gramStart"/>
      <w:r>
        <w:t>)</w:t>
      </w:r>
      <w:proofErr w:type="gramEnd"/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342"/>
        </w:tabs>
        <w:spacing w:line="170" w:lineRule="exact"/>
        <w:ind w:left="20"/>
      </w:pPr>
      <w:r>
        <w:t>Teklif vermeye yetkili olduğunu gösteren imza beyannamesi veya imza sirküleri,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471"/>
        </w:tabs>
        <w:spacing w:line="170" w:lineRule="exact"/>
        <w:ind w:left="20"/>
      </w:pPr>
      <w:r>
        <w:t>Gerçek kişi olması halinde noter tasdikli imza beyannamesi,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524"/>
        </w:tabs>
        <w:spacing w:line="187" w:lineRule="exact"/>
        <w:ind w:left="20" w:right="20"/>
      </w:pPr>
      <w:r>
        <w:t>Tüzel kişi olması halinde, ilgisine göre tüzel kişiliğin ortakları, üyeleri veya kurucuları ile tüzel k</w:t>
      </w:r>
      <w:r>
        <w:t>işiliğin yönetimindeki görevlileri belirten son durumu gösterir Ticaret Sicil Gazetesi veya bu hususları tevsik eden belgeler ile tüzel kişiliğin noter tasdikli imza sirküleri,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476"/>
        </w:tabs>
        <w:spacing w:line="170" w:lineRule="exact"/>
        <w:ind w:left="20"/>
      </w:pPr>
      <w:r>
        <w:t>Ortak girişim olması halinde ortak girişim oluşturan gerçek kişi veya tüzel kiş</w:t>
      </w:r>
      <w:r>
        <w:t>ilerin her birinin (6.4.1) ve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4"/>
        </w:numPr>
        <w:shd w:val="clear" w:color="auto" w:fill="auto"/>
        <w:tabs>
          <w:tab w:val="left" w:pos="514"/>
        </w:tabs>
        <w:spacing w:line="170" w:lineRule="exact"/>
        <w:ind w:left="20"/>
      </w:pPr>
      <w:proofErr w:type="gramStart"/>
      <w:r>
        <w:t>fıkralarındaki</w:t>
      </w:r>
      <w:proofErr w:type="gramEnd"/>
      <w:r>
        <w:t xml:space="preserve"> esaslara göre temin edecekleri belge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2"/>
          <w:numId w:val="2"/>
        </w:numPr>
        <w:shd w:val="clear" w:color="auto" w:fill="auto"/>
        <w:tabs>
          <w:tab w:val="left" w:pos="514"/>
        </w:tabs>
        <w:spacing w:line="187" w:lineRule="exact"/>
        <w:ind w:left="20" w:right="20"/>
      </w:pPr>
      <w:r>
        <w:t xml:space="preserve">İstekliler adına vekâlet edilmesi halinde, istekli adına teklifte bulunacak kimselerin ihalenin yapıldığı yıla ait noter tasdikli vekâletnameleri ile vekilin ihalenin </w:t>
      </w:r>
      <w:r>
        <w:t>yapıldığı yıla ait imza sirkülerini vermesi, (Türkiye'de şubesi bulunmayan yabancı tüzel kişilerin vekâletnamelerini bulunduğu ülkedeki Türk Konsolosluğunca veya Türkiye Dışişleri Bakanlığınca onaylanmış olması gerekir.)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346"/>
        </w:tabs>
        <w:spacing w:line="170" w:lineRule="exact"/>
        <w:ind w:left="20"/>
      </w:pPr>
      <w:r>
        <w:t xml:space="preserve">Geçici teminatın Birliğin hesabına </w:t>
      </w:r>
      <w:r>
        <w:t>yatırıldığına dair alındı belgesi veya banka teminat mektubu vermesi,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428"/>
        </w:tabs>
        <w:spacing w:line="192" w:lineRule="exact"/>
        <w:ind w:left="20" w:right="20"/>
      </w:pPr>
      <w:r>
        <w:t>İsteklilerin ortak girişim halinde ortak girişim beyannamesi ile ortaklarca imzalanan ortaklık sözleşmesi vermesi (ihale üzerinde kaldığı takdirde noter tasdikli ortaklık sözleşmesi veri</w:t>
      </w:r>
      <w:r>
        <w:t>rler ayrıca grubun bütün ortakları İdare ile yapılacak ihale sözleşmesini şahsen veya vekil tayin edecekleri kişiler vasıtasıyla imzalarlar.)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1"/>
          <w:numId w:val="2"/>
        </w:numPr>
        <w:shd w:val="clear" w:color="auto" w:fill="auto"/>
        <w:tabs>
          <w:tab w:val="left" w:pos="394"/>
        </w:tabs>
        <w:spacing w:line="192" w:lineRule="exact"/>
        <w:ind w:left="20" w:right="20"/>
      </w:pPr>
      <w:r>
        <w:t>İhale dosyasının idareden satın alındığına dair makbuzun aslını, Tüm ihale dokümanlarının her sayfasının imzalı ve</w:t>
      </w:r>
      <w:r>
        <w:t xml:space="preserve"> kaşeli suretleri, kullanılacak teknolojilerin tanımlamaları, ürün tanımlamaları ve girdi-çıktı öngörüleri, </w:t>
      </w:r>
      <w:proofErr w:type="gramStart"/>
      <w:r>
        <w:t>proses</w:t>
      </w:r>
      <w:proofErr w:type="gramEnd"/>
      <w:r>
        <w:t xml:space="preserve"> artıklarının öngörüsü, dizayn bilgileri, istihdam öngörüsü ve iş takvim öngörüsü hususlarına ilişkin isteklinin hazırlamış olduğu dokümanları</w:t>
      </w:r>
      <w:r>
        <w:t xml:space="preserve"> idareye sunmak zorundadır.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79"/>
        </w:tabs>
        <w:spacing w:line="192" w:lineRule="exact"/>
        <w:ind w:left="20" w:right="20"/>
      </w:pPr>
      <w:r>
        <w:t xml:space="preserve">İhale şartname ve ekleri Birlik ofisinde görülebilir ve 2.500,00 TL karşılığı aynı adresten temin edilebilir. İhaleye teklif verecek olanların ihale dokümanını satın almaları zorunludur. Dosya satışı 27.12.2012 Saat: </w:t>
      </w:r>
      <w:proofErr w:type="gramStart"/>
      <w:r>
        <w:t>12:30'da</w:t>
      </w:r>
      <w:proofErr w:type="gramEnd"/>
      <w:r>
        <w:t xml:space="preserve"> </w:t>
      </w:r>
      <w:r>
        <w:t>sona erecektir. İhaleden doğacak kanuni kesintiler, K.D.V. ve damga vergisi yükleniciye aittir.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79"/>
        </w:tabs>
        <w:spacing w:line="192" w:lineRule="exact"/>
        <w:ind w:left="20" w:right="20"/>
      </w:pPr>
      <w:r>
        <w:t>Yurtdışındaki kurum, kuruluş ve idarelerden alman belgelerin ilgili ülkelerdeki Türk Büyükelçiliği veya Başkonsolosluğunca onaylanmış olması gerekir.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2"/>
        </w:numPr>
        <w:shd w:val="clear" w:color="auto" w:fill="auto"/>
        <w:tabs>
          <w:tab w:val="left" w:pos="255"/>
        </w:tabs>
        <w:spacing w:line="187" w:lineRule="exact"/>
        <w:ind w:left="20" w:right="20"/>
      </w:pPr>
      <w:r>
        <w:t xml:space="preserve">Telefonla </w:t>
      </w:r>
      <w:r>
        <w:t>yapılan müracaatlar ve postada meydana gelecek gecikmeler kabul edilmeyecektir. Başvuru dos</w:t>
      </w:r>
      <w:r>
        <w:softHyphen/>
        <w:t>yası idareye verildikten sonra (son müracaat tarihinden önce olsa bile) dosya içerisindeki herhangi bir evrakın değiştirilmesi veya evrak tamamlanması yönünde yapıl</w:t>
      </w:r>
      <w:r>
        <w:t xml:space="preserve">acak müracaatlar değerlendirmeye alınmayacaktır. Bu işin ihalesine katılmak üzere, kendi adına asaleten ve/veya başkaları adına </w:t>
      </w:r>
      <w:proofErr w:type="gramStart"/>
      <w:r>
        <w:t>vekaleten</w:t>
      </w:r>
      <w:proofErr w:type="gramEnd"/>
      <w:r>
        <w:t xml:space="preserve"> sadece bir tek başvuruda bulunabilecektir. Aksi halde yapılacak başvurular değerlendirmeye alınmayacaktır.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shd w:val="clear" w:color="auto" w:fill="auto"/>
        <w:spacing w:line="170" w:lineRule="exact"/>
        <w:ind w:left="20"/>
      </w:pPr>
      <w:r>
        <w:t>10. Belgele</w:t>
      </w:r>
      <w:r>
        <w:t>ri eksik olan isteklilerin teklifleri değerlendirme dışı bırakılarak açılmadan iade edilecektir.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5"/>
        </w:numPr>
        <w:shd w:val="clear" w:color="auto" w:fill="auto"/>
        <w:tabs>
          <w:tab w:val="left" w:pos="308"/>
        </w:tabs>
        <w:spacing w:line="192" w:lineRule="exact"/>
        <w:ind w:left="20" w:right="20"/>
      </w:pPr>
      <w:r>
        <w:t>İhale saatinde hazır bulunmayan veya noterden tasdikli vekâletnameyi haiz bir vekil göndermeyen istekli</w:t>
      </w:r>
      <w:r>
        <w:softHyphen/>
        <w:t>ler ihalenin yapılış tarzına ve sonucuna itiraz edemezl</w:t>
      </w:r>
      <w:r>
        <w:t>er.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5"/>
        </w:numPr>
        <w:shd w:val="clear" w:color="auto" w:fill="auto"/>
        <w:tabs>
          <w:tab w:val="left" w:pos="308"/>
        </w:tabs>
        <w:spacing w:line="187" w:lineRule="exact"/>
        <w:ind w:left="20" w:right="20"/>
      </w:pPr>
      <w:r>
        <w:t xml:space="preserve">isteklilerin </w:t>
      </w:r>
      <w:proofErr w:type="gramStart"/>
      <w:r>
        <w:t>konsorsiyum</w:t>
      </w:r>
      <w:proofErr w:type="gramEnd"/>
      <w:r>
        <w:t xml:space="preserve"> olması halinde, noter onaylı konsorsiyum beyannamesi ile konsorsiyumu oluşturan taraflara ait konsorsiyum sözleşmesi ve konsorsiyum yapılarını belirtir belgeleri ihale dokümanları ekinde sunacaklardır.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numPr>
          <w:ilvl w:val="0"/>
          <w:numId w:val="5"/>
        </w:numPr>
        <w:shd w:val="clear" w:color="auto" w:fill="auto"/>
        <w:tabs>
          <w:tab w:val="left" w:pos="303"/>
        </w:tabs>
        <w:spacing w:line="170" w:lineRule="exact"/>
        <w:ind w:left="20"/>
      </w:pPr>
      <w:r>
        <w:t xml:space="preserve">Birlik Encümeni ihaleyi </w:t>
      </w:r>
      <w:r>
        <w:t>yapıp yapmamakta serbesttir.</w:t>
      </w:r>
    </w:p>
    <w:p w:rsidR="00745C39" w:rsidRDefault="00765354">
      <w:pPr>
        <w:pStyle w:val="Gvdemetni0"/>
        <w:framePr w:w="7752" w:h="15494" w:hRule="exact" w:wrap="none" w:vAnchor="page" w:hAnchor="page" w:x="4546" w:y="4724"/>
        <w:shd w:val="clear" w:color="auto" w:fill="auto"/>
        <w:spacing w:line="170" w:lineRule="exact"/>
        <w:ind w:left="20"/>
      </w:pPr>
      <w:r>
        <w:t>İlan Olunur.</w:t>
      </w:r>
    </w:p>
    <w:p w:rsidR="00745C39" w:rsidRDefault="00765354">
      <w:pPr>
        <w:pStyle w:val="Gvdemetni20"/>
        <w:framePr w:w="7752" w:h="15494" w:hRule="exact" w:wrap="none" w:vAnchor="page" w:hAnchor="page" w:x="4546" w:y="4724"/>
        <w:shd w:val="clear" w:color="auto" w:fill="auto"/>
        <w:spacing w:before="0" w:line="140" w:lineRule="exact"/>
        <w:ind w:right="20"/>
        <w:jc w:val="right"/>
      </w:pPr>
      <w:r>
        <w:rPr>
          <w:rStyle w:val="Gvdemetni2CenturyGothic55pttalik0ptbolukbraklyor"/>
        </w:rPr>
        <w:t>B: 77939</w:t>
      </w:r>
      <w:r>
        <w:rPr>
          <w:rStyle w:val="Gvdemetni20ptbolukbraklyor"/>
        </w:rP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745C39" w:rsidRDefault="00745C39">
      <w:pPr>
        <w:rPr>
          <w:sz w:val="2"/>
          <w:szCs w:val="2"/>
        </w:rPr>
      </w:pPr>
    </w:p>
    <w:sectPr w:rsidR="00745C39" w:rsidSect="00745C3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54" w:rsidRDefault="00765354" w:rsidP="00745C39">
      <w:r>
        <w:separator/>
      </w:r>
    </w:p>
  </w:endnote>
  <w:endnote w:type="continuationSeparator" w:id="0">
    <w:p w:rsidR="00765354" w:rsidRDefault="00765354" w:rsidP="0074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54" w:rsidRDefault="00765354"/>
  </w:footnote>
  <w:footnote w:type="continuationSeparator" w:id="0">
    <w:p w:rsidR="00765354" w:rsidRDefault="007653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159"/>
    <w:multiLevelType w:val="multilevel"/>
    <w:tmpl w:val="68064028"/>
    <w:lvl w:ilvl="0">
      <w:start w:val="2"/>
      <w:numFmt w:val="decimal"/>
      <w:lvlText w:val="(6.4.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A4F44"/>
    <w:multiLevelType w:val="multilevel"/>
    <w:tmpl w:val="635E65D0"/>
    <w:lvl w:ilvl="0">
      <w:start w:val="2"/>
      <w:numFmt w:val="decimal"/>
      <w:lvlText w:val="(6.3.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44558"/>
    <w:multiLevelType w:val="multilevel"/>
    <w:tmpl w:val="18942FA0"/>
    <w:lvl w:ilvl="0">
      <w:start w:val="2"/>
      <w:numFmt w:val="decimal"/>
      <w:lvlText w:val="%1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start w:val="1"/>
      <w:numFmt w:val="decimal"/>
      <w:lvlText w:val="%1.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421FF"/>
    <w:multiLevelType w:val="multilevel"/>
    <w:tmpl w:val="3A8A288A"/>
    <w:lvl w:ilvl="0">
      <w:start w:val="1"/>
      <w:numFmt w:val="decimal"/>
      <w:lvlText w:val="1.%1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138BB"/>
    <w:multiLevelType w:val="multilevel"/>
    <w:tmpl w:val="32E25510"/>
    <w:lvl w:ilvl="0">
      <w:start w:val="1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5C39"/>
    <w:rsid w:val="00745C39"/>
    <w:rsid w:val="00765354"/>
    <w:rsid w:val="00D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C3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45C3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45C3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alk2">
    <w:name w:val="Başlık #2_"/>
    <w:basedOn w:val="VarsaylanParagrafYazTipi"/>
    <w:link w:val="Balk20"/>
    <w:rsid w:val="00745C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745C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745C3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Sylfaen8ptKaln0ptbolukbraklyor">
    <w:name w:val="Gövde metni + Sylfaen;8 pt;Kalın;0 pt boşluk bırakılıyor"/>
    <w:basedOn w:val="Gvdemetni"/>
    <w:rsid w:val="00745C39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Gvdemetni75ptKaln0ptbolukbraklyor">
    <w:name w:val="Gövde metni + 7;5 pt;Kalın;0 pt boşluk bırakılıyor"/>
    <w:basedOn w:val="Gvdemetni"/>
    <w:rsid w:val="00745C39"/>
    <w:rPr>
      <w:b/>
      <w:b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2CenturyGothic55pttalik0ptbolukbraklyor">
    <w:name w:val="Gövde metni (2) + Century Gothic;5;5 pt;İtalik;0 pt boşluk bırakılıyor"/>
    <w:basedOn w:val="Gvdemetni2"/>
    <w:rsid w:val="00745C39"/>
    <w:rPr>
      <w:rFonts w:ascii="Century Gothic" w:eastAsia="Century Gothic" w:hAnsi="Century Gothic" w:cs="Century Gothic"/>
      <w:i/>
      <w:iCs/>
      <w:color w:val="000000"/>
      <w:spacing w:val="-1"/>
      <w:w w:val="100"/>
      <w:position w:val="0"/>
      <w:sz w:val="11"/>
      <w:szCs w:val="11"/>
      <w:lang w:val="tr-TR"/>
    </w:rPr>
  </w:style>
  <w:style w:type="character" w:customStyle="1" w:styleId="Gvdemetni20ptbolukbraklyor">
    <w:name w:val="Gövde metni (2) + 0 pt boşluk bırakılıyor"/>
    <w:basedOn w:val="Gvdemetni2"/>
    <w:rsid w:val="00745C39"/>
    <w:rPr>
      <w:color w:val="000000"/>
      <w:spacing w:val="0"/>
      <w:w w:val="100"/>
      <w:position w:val="0"/>
    </w:rPr>
  </w:style>
  <w:style w:type="paragraph" w:customStyle="1" w:styleId="Balk10">
    <w:name w:val="Başlık #1"/>
    <w:basedOn w:val="Normal"/>
    <w:link w:val="Balk1"/>
    <w:rsid w:val="00745C39"/>
    <w:pPr>
      <w:shd w:val="clear" w:color="auto" w:fill="FFFFFF"/>
      <w:spacing w:line="278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alk20">
    <w:name w:val="Başlık #2"/>
    <w:basedOn w:val="Normal"/>
    <w:link w:val="Balk2"/>
    <w:rsid w:val="00745C39"/>
    <w:pPr>
      <w:shd w:val="clear" w:color="auto" w:fill="FFFFFF"/>
      <w:spacing w:after="120" w:line="278" w:lineRule="exact"/>
      <w:jc w:val="center"/>
      <w:outlineLvl w:val="1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745C3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Gvdemetni0">
    <w:name w:val="Gövde metni"/>
    <w:basedOn w:val="Normal"/>
    <w:link w:val="Gvdemetni"/>
    <w:rsid w:val="00745C3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2012-12-12T08:46:00Z</dcterms:created>
  <dcterms:modified xsi:type="dcterms:W3CDTF">2012-12-12T08:46:00Z</dcterms:modified>
</cp:coreProperties>
</file>