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B9" w:rsidRDefault="00A23E00">
      <w:pPr>
        <w:pStyle w:val="Gvdemetni20"/>
        <w:framePr w:w="9034" w:h="9293" w:hRule="exact" w:wrap="none" w:vAnchor="page" w:hAnchor="page" w:x="1449" w:y="3913"/>
        <w:shd w:val="clear" w:color="auto" w:fill="auto"/>
        <w:ind w:left="20"/>
      </w:pPr>
      <w:r>
        <w:t>SAYI: 2010/82 TAL</w:t>
      </w:r>
    </w:p>
    <w:p w:rsidR="00D64FB9" w:rsidRDefault="00A23E00">
      <w:pPr>
        <w:pStyle w:val="Gvdemetni0"/>
        <w:framePr w:w="9034" w:h="9293" w:hRule="exact" w:wrap="none" w:vAnchor="page" w:hAnchor="page" w:x="1449" w:y="3913"/>
        <w:shd w:val="clear" w:color="auto" w:fill="auto"/>
        <w:ind w:left="20" w:right="320"/>
      </w:pPr>
      <w:r>
        <w:t xml:space="preserve">Bir borçtan dolayı aşağıda tapu kaydı ve nitelikleri yazılı taşınmazın satılarak </w:t>
      </w:r>
      <w:r>
        <w:rPr>
          <w:rStyle w:val="Gvdemetnitalik0ptbolukbraklyor"/>
        </w:rPr>
        <w:t>paraya</w:t>
      </w:r>
      <w:r>
        <w:t xml:space="preserve"> çevrilmelerine karar verilmiştir. </w:t>
      </w:r>
      <w:r>
        <w:rPr>
          <w:rStyle w:val="GvdemetniKaln"/>
        </w:rPr>
        <w:t>Satılmasına karar verilen taşınmazların cinsi, niteliği, kıymeti, adedi, önemli özellikleri:</w:t>
      </w:r>
    </w:p>
    <w:p w:rsidR="00D64FB9" w:rsidRDefault="00A23E00">
      <w:pPr>
        <w:pStyle w:val="Gvdemetni0"/>
        <w:framePr w:w="9034" w:h="9293" w:hRule="exact" w:wrap="none" w:vAnchor="page" w:hAnchor="page" w:x="1449" w:y="3913"/>
        <w:shd w:val="clear" w:color="auto" w:fill="auto"/>
        <w:ind w:left="20" w:right="200"/>
      </w:pPr>
      <w:r>
        <w:rPr>
          <w:rStyle w:val="GvdemetniKaln"/>
        </w:rPr>
        <w:t>TAPU KAYDI</w:t>
      </w:r>
      <w:r>
        <w:t xml:space="preserve">: Tapunun </w:t>
      </w:r>
      <w:r>
        <w:t xml:space="preserve">İstanbul ili,’Silivri ilçesi, </w:t>
      </w:r>
      <w:proofErr w:type="spellStart"/>
      <w:r>
        <w:t>Gümüşyaka</w:t>
      </w:r>
      <w:proofErr w:type="spellEnd"/>
      <w:r>
        <w:t xml:space="preserve"> köyü, Damlıca mevkii, 501 parselde kayıttı 16.300,00m2 </w:t>
      </w:r>
      <w:proofErr w:type="spellStart"/>
      <w:r>
        <w:t>mik</w:t>
      </w:r>
      <w:proofErr w:type="spellEnd"/>
      <w:r>
        <w:t>- ' tarlı Tarla nitelikli taşınmaz açık artırma sureti ile 1.141.000,00-TL Muhammen Bedel</w:t>
      </w:r>
    </w:p>
    <w:p w:rsidR="00D64FB9" w:rsidRDefault="00A23E00">
      <w:pPr>
        <w:pStyle w:val="Gvdemetni0"/>
        <w:framePr w:w="9034" w:h="9293" w:hRule="exact" w:wrap="none" w:vAnchor="page" w:hAnchor="page" w:x="1449" w:y="3913"/>
        <w:shd w:val="clear" w:color="auto" w:fill="auto"/>
        <w:ind w:left="20" w:right="320"/>
        <w:jc w:val="both"/>
      </w:pPr>
      <w:r>
        <w:rPr>
          <w:rStyle w:val="GvdemetniKaln"/>
        </w:rPr>
        <w:t xml:space="preserve">İMAR DURUMU: </w:t>
      </w:r>
      <w:r>
        <w:t>Silivri Belediye Başkanlığı, Plan ve Proje Müdürlüğünün</w:t>
      </w:r>
      <w:r>
        <w:t xml:space="preserve"> </w:t>
      </w:r>
      <w:proofErr w:type="gramStart"/>
      <w:r>
        <w:t>05/11/2010</w:t>
      </w:r>
      <w:proofErr w:type="gramEnd"/>
      <w:r>
        <w:t xml:space="preserve"> tarih ve M.34.6.SİL.0.34- (310.05)- 8301-96375-2562 sayılı yazısında belirtildiği gibi </w:t>
      </w:r>
      <w:proofErr w:type="spellStart"/>
      <w:r>
        <w:t>Gümüşyaka</w:t>
      </w:r>
      <w:proofErr w:type="spellEnd"/>
      <w:r>
        <w:t xml:space="preserve"> merkez mahallesi, 501 </w:t>
      </w:r>
      <w:proofErr w:type="spellStart"/>
      <w:r>
        <w:t>nolu</w:t>
      </w:r>
      <w:proofErr w:type="spellEnd"/>
      <w:r>
        <w:t xml:space="preserve"> parsel, 15/06/2009 tarih onan- </w:t>
      </w:r>
      <w:proofErr w:type="spellStart"/>
      <w:r>
        <w:t>lı</w:t>
      </w:r>
      <w:proofErr w:type="spellEnd"/>
      <w:r>
        <w:t xml:space="preserve"> 1/100 000 ölçekli İstanbul Çevre Düzeni Planında kısmen lojistik bölgede kalmakta olup</w:t>
      </w:r>
      <w:r>
        <w:t>; Gümrükler, antrepo ve depo</w:t>
      </w:r>
      <w:r>
        <w:softHyphen/>
        <w:t xml:space="preserve">lar, nakliye ambarları, kargo aktarma tesisleri, </w:t>
      </w:r>
      <w:proofErr w:type="spellStart"/>
      <w:r>
        <w:t>parekende</w:t>
      </w:r>
      <w:proofErr w:type="spellEnd"/>
      <w:r>
        <w:t xml:space="preserve"> dağıtım birimleri, haller, </w:t>
      </w:r>
      <w:proofErr w:type="spellStart"/>
      <w:r>
        <w:t>barkodlama</w:t>
      </w:r>
      <w:proofErr w:type="spellEnd"/>
      <w:r>
        <w:t xml:space="preserve">, ambalajlama, sigorta, gümrük, acente, taşıma işleri komisyoncuları, </w:t>
      </w:r>
      <w:proofErr w:type="spellStart"/>
      <w:r>
        <w:t>Ro</w:t>
      </w:r>
      <w:proofErr w:type="spellEnd"/>
      <w:r>
        <w:t xml:space="preserve">-La stok ve </w:t>
      </w:r>
      <w:proofErr w:type="spellStart"/>
      <w:r>
        <w:t>triyaj</w:t>
      </w:r>
      <w:proofErr w:type="spellEnd"/>
      <w:r>
        <w:t xml:space="preserve"> alanları, Tır- Kamyon parkları, manevra </w:t>
      </w:r>
      <w:r>
        <w:t>sahaları, lojis</w:t>
      </w:r>
      <w:r>
        <w:softHyphen/>
        <w:t>tik faaliyetlerden kaynaklanan atıkları değerlendirme istasyonları, lojistik destek hizmetleri veren işletmeler ve sosyal te</w:t>
      </w:r>
      <w:r>
        <w:softHyphen/>
        <w:t>sisler vb. Lojistikle ilgili fonksiyonların yer alabileceği alanlardır. Lojistik bölgeler içerisinde ilgili kurum v</w:t>
      </w:r>
      <w:r>
        <w:t>e kuruluşların uy</w:t>
      </w:r>
      <w:r>
        <w:softHyphen/>
        <w:t>gun görüşü gerekli önlemler alınmak kaydıyla, gürültü, görüntü kirliliğine neden olan ve çevre için risk oluşturan “geri dö</w:t>
      </w:r>
      <w:r>
        <w:softHyphen/>
        <w:t>nüşümlü atıkları değerlendirme işlevi gören birimler” yer alabilir. Lojistik bölgelerde sanayi faaliyetleri yer al</w:t>
      </w:r>
      <w:r>
        <w:t>maz denil</w:t>
      </w:r>
      <w:r>
        <w:softHyphen/>
        <w:t>mektedir.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shd w:val="clear" w:color="auto" w:fill="auto"/>
        <w:ind w:left="20" w:right="320"/>
        <w:jc w:val="both"/>
      </w:pPr>
      <w:r>
        <w:t xml:space="preserve">Söz konusu parsel </w:t>
      </w:r>
      <w:proofErr w:type="spellStart"/>
      <w:r>
        <w:t>kısmende</w:t>
      </w:r>
      <w:proofErr w:type="spellEnd"/>
      <w:r>
        <w:t xml:space="preserve"> 1/100 000 ölçekli İstanbul Çevre Düzeni Planında Tarımsal niteliği koruncak alan olarak planlanmıştır. </w:t>
      </w:r>
      <w:proofErr w:type="gramStart"/>
      <w:r>
        <w:t>Bu alanlarda; Tarımsal amaçlı arazi kullanım planı bulunmaması durumunda ise tarımsal amaçlı arazi kul</w:t>
      </w:r>
      <w:r>
        <w:softHyphen/>
        <w:t>lan</w:t>
      </w:r>
      <w:r>
        <w:t xml:space="preserve">ım planı onanıp yürürlüğe girinceye kadar ilgili kurumdan onay alınmak kaydıyla ilgili mevzuatta tanımlanan örtü altı tarımsal amaçlı yapılar haricindeki tarımsal amaçlı yapılar için maksimum emsal, 10.000m2 ye kadar 0.10; 10.00.0m2 </w:t>
      </w:r>
      <w:proofErr w:type="spellStart"/>
      <w:r>
        <w:t>nin</w:t>
      </w:r>
      <w:proofErr w:type="spellEnd"/>
      <w:r>
        <w:t xml:space="preserve"> üzerindeki ilave al</w:t>
      </w:r>
      <w:r>
        <w:t xml:space="preserve">anlar için 0.05 olacak ve söz konusu yapılaşmalar ilgili kurumlar tarafından denetlenecektir. </w:t>
      </w:r>
      <w:proofErr w:type="gramEnd"/>
      <w:r>
        <w:t>İfraz ya</w:t>
      </w:r>
      <w:r>
        <w:softHyphen/>
        <w:t xml:space="preserve">pılması durumunda 5403 sayılı Toprak Kanunu ve Arazi Kullanımı Kanununun 8. maddesi gereği minimum parsel </w:t>
      </w:r>
      <w:proofErr w:type="spellStart"/>
      <w:r>
        <w:t>bü</w:t>
      </w:r>
      <w:proofErr w:type="spellEnd"/>
      <w:r>
        <w:t xml:space="preserve">- , yüklüğü 20.000m2 </w:t>
      </w:r>
      <w:proofErr w:type="spellStart"/>
      <w:r>
        <w:t>dir</w:t>
      </w:r>
      <w:proofErr w:type="spellEnd"/>
      <w:r>
        <w:t>. Plan notuna göre iş</w:t>
      </w:r>
      <w:r>
        <w:t>lem yapılacaktır.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shd w:val="clear" w:color="auto" w:fill="auto"/>
        <w:ind w:left="20" w:right="320"/>
        <w:jc w:val="both"/>
      </w:pPr>
      <w:r>
        <w:t xml:space="preserve">Ancak; 1/100.000 ölçekli plan notu gereği </w:t>
      </w:r>
      <w:proofErr w:type="gramStart"/>
      <w:r>
        <w:t>hakim</w:t>
      </w:r>
      <w:proofErr w:type="gramEnd"/>
      <w:r>
        <w:t xml:space="preserve"> fonksiyonun belirtildiği bu alanların ve bu alanlar içerisinde yer alacak diğer fonksiyonların </w:t>
      </w:r>
      <w:proofErr w:type="spellStart"/>
      <w:r>
        <w:t>dağıtılımları</w:t>
      </w:r>
      <w:proofErr w:type="spellEnd"/>
      <w:r>
        <w:t xml:space="preserve"> ve bu dağılımların yoğunlukları, sınırlar ve detaylara alt ölçekli planlarda beli</w:t>
      </w:r>
      <w:r>
        <w:t>rlenecektir. 1/100 000 ölçekli plan şematik olup, bu plan üzerinden imar durumu verilememektedir.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shd w:val="clear" w:color="auto" w:fill="auto"/>
        <w:ind w:left="20"/>
      </w:pPr>
      <w:r>
        <w:t>Alt 1/25.000,1/5000,1/1000 ölçekli planlar yapılmadan uygulama yapılamaz.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shd w:val="clear" w:color="auto" w:fill="auto"/>
        <w:ind w:left="20" w:right="320"/>
        <w:jc w:val="both"/>
      </w:pPr>
      <w:r>
        <w:rPr>
          <w:rStyle w:val="GvdemetniKaln"/>
        </w:rPr>
        <w:t xml:space="preserve">GAYRİMENKULÜN HALİ HAZIR </w:t>
      </w:r>
      <w:proofErr w:type="gramStart"/>
      <w:r>
        <w:rPr>
          <w:rStyle w:val="GvdemetniKaln"/>
        </w:rPr>
        <w:t xml:space="preserve">DURUMU </w:t>
      </w:r>
      <w:r>
        <w:t>: Satışa</w:t>
      </w:r>
      <w:proofErr w:type="gramEnd"/>
      <w:r>
        <w:t xml:space="preserve"> konu taşınmaz; İstanbul ili, Silivri ilçesi</w:t>
      </w:r>
      <w:r>
        <w:t xml:space="preserve">, </w:t>
      </w:r>
      <w:proofErr w:type="spellStart"/>
      <w:r>
        <w:t>Gümüşyaka</w:t>
      </w:r>
      <w:proofErr w:type="spellEnd"/>
      <w:r>
        <w:t xml:space="preserve"> köyü, Damlı</w:t>
      </w:r>
      <w:r>
        <w:softHyphen/>
        <w:t xml:space="preserve">ca mevkiinde kain 501 </w:t>
      </w:r>
      <w:proofErr w:type="spellStart"/>
      <w:r>
        <w:t>nolu</w:t>
      </w:r>
      <w:proofErr w:type="spellEnd"/>
      <w:r>
        <w:t xml:space="preserve"> parsel üzerinde herhangi bir yapı yoktur. Tarla vasfındadır. </w:t>
      </w:r>
      <w:proofErr w:type="spellStart"/>
      <w:r>
        <w:t>Kadastfal</w:t>
      </w:r>
      <w:proofErr w:type="spellEnd"/>
      <w:r>
        <w:t xml:space="preserve"> yola bağlantısı vardır. </w:t>
      </w:r>
      <w:r>
        <w:rPr>
          <w:rStyle w:val="GvdemetniKaln"/>
        </w:rPr>
        <w:t xml:space="preserve">Silivri 1. İcra Hukuk Mahkemesinin </w:t>
      </w:r>
      <w:proofErr w:type="gramStart"/>
      <w:r>
        <w:rPr>
          <w:rStyle w:val="GvdemetniKaln"/>
        </w:rPr>
        <w:t>27/06/2012</w:t>
      </w:r>
      <w:proofErr w:type="gramEnd"/>
      <w:r>
        <w:rPr>
          <w:rStyle w:val="GvdemetniKaln"/>
        </w:rPr>
        <w:t xml:space="preserve"> tarih ve 2012/437 Esas, 2012/235 sayılı kararı ile taşınmazın de</w:t>
      </w:r>
      <w:r>
        <w:rPr>
          <w:rStyle w:val="GvdemetniKaln"/>
        </w:rPr>
        <w:t>ğe</w:t>
      </w:r>
      <w:r>
        <w:rPr>
          <w:rStyle w:val="GvdemetniKaln"/>
        </w:rPr>
        <w:softHyphen/>
        <w:t xml:space="preserve">ri 1.141.000,00-TL olarak </w:t>
      </w:r>
      <w:proofErr w:type="spellStart"/>
      <w:r>
        <w:rPr>
          <w:rStyle w:val="GvdemetniKaln"/>
        </w:rPr>
        <w:t>takdiK’tedilmiştir</w:t>
      </w:r>
      <w:proofErr w:type="spellEnd"/>
      <w:r>
        <w:rPr>
          <w:rStyle w:val="GvdemetniKaln"/>
        </w:rPr>
        <w:t>.</w:t>
      </w:r>
    </w:p>
    <w:p w:rsidR="00D64FB9" w:rsidRDefault="00A23E00">
      <w:pPr>
        <w:pStyle w:val="Gvdemetni20"/>
        <w:framePr w:w="9034" w:h="9293" w:hRule="exact" w:wrap="none" w:vAnchor="page" w:hAnchor="page" w:x="1449" w:y="3913"/>
        <w:shd w:val="clear" w:color="auto" w:fill="auto"/>
        <w:tabs>
          <w:tab w:val="left" w:pos="7220"/>
        </w:tabs>
        <w:ind w:left="20"/>
      </w:pPr>
      <w:r>
        <w:t>SATIŞ ŞARTLARI :</w:t>
      </w:r>
      <w:r>
        <w:tab/>
      </w:r>
      <w:proofErr w:type="gramStart"/>
      <w:r>
        <w:rPr>
          <w:rStyle w:val="Gvdemetni211ptbolukbraklyor"/>
          <w:b/>
          <w:bCs/>
        </w:rPr>
        <w:t>......</w:t>
      </w:r>
      <w:proofErr w:type="gramEnd"/>
    </w:p>
    <w:p w:rsidR="00D64FB9" w:rsidRDefault="00A23E00">
      <w:pPr>
        <w:pStyle w:val="Gvdemetni0"/>
        <w:framePr w:w="9034" w:h="9293" w:hRule="exact" w:wrap="none" w:vAnchor="page" w:hAnchor="page" w:x="1449" w:y="3913"/>
        <w:shd w:val="clear" w:color="auto" w:fill="auto"/>
        <w:ind w:left="20" w:right="320"/>
        <w:jc w:val="both"/>
      </w:pPr>
      <w:r>
        <w:t>1 -</w:t>
      </w:r>
      <w:proofErr w:type="gramStart"/>
      <w:r>
        <w:t>..</w:t>
      </w:r>
      <w:proofErr w:type="gramEnd"/>
      <w:r>
        <w:t xml:space="preserve">Birinci Satış </w:t>
      </w:r>
      <w:r>
        <w:rPr>
          <w:rStyle w:val="GvdemetniKaln"/>
        </w:rPr>
        <w:t>21/01/2013 (PAZARTESİ</w:t>
      </w:r>
      <w:r>
        <w:t xml:space="preserve">) </w:t>
      </w:r>
      <w:r>
        <w:rPr>
          <w:rStyle w:val="GvdemetniKaln"/>
        </w:rPr>
        <w:t xml:space="preserve">günü </w:t>
      </w:r>
      <w:r>
        <w:t xml:space="preserve">; </w:t>
      </w:r>
      <w:r>
        <w:rPr>
          <w:rStyle w:val="GvdemetniKaln"/>
        </w:rPr>
        <w:t>taşınmaz [14.00 -14.10] saatleri arasında SİLİVRİ 1. İCRA MÜ</w:t>
      </w:r>
      <w:r>
        <w:rPr>
          <w:rStyle w:val="GvdemetniKaln"/>
        </w:rPr>
        <w:softHyphen/>
        <w:t xml:space="preserve">DÜRLÜĞÜNDE </w:t>
      </w:r>
      <w:r>
        <w:t xml:space="preserve">açık artırma suretiyle yapılacaktır. Bu artırmada tahmin </w:t>
      </w:r>
      <w:r>
        <w:t>edilen değerin % 60'ını ve rüçhanlı alacaklılar var</w:t>
      </w:r>
      <w:r>
        <w:softHyphen/>
        <w:t xml:space="preserve">sa alacakları toplamını ve satış giderlerini geçmek şartı ile ihale olunur. Böyle bir bedelle alıcı çıkmazsa en çok artıranın </w:t>
      </w:r>
      <w:proofErr w:type="spellStart"/>
      <w:r>
        <w:t>taahhüdy</w:t>
      </w:r>
      <w:proofErr w:type="spellEnd"/>
      <w:r>
        <w:t xml:space="preserve"> saklı kalmak şartı ile </w:t>
      </w:r>
      <w:proofErr w:type="gramStart"/>
      <w:r>
        <w:rPr>
          <w:rStyle w:val="GvdemetniKaln"/>
        </w:rPr>
        <w:t>31/01/2013</w:t>
      </w:r>
      <w:proofErr w:type="gramEnd"/>
      <w:r>
        <w:rPr>
          <w:rStyle w:val="GvdemetniKaln"/>
        </w:rPr>
        <w:t xml:space="preserve"> (PERŞEMBE) günü [14,00 </w:t>
      </w:r>
      <w:r>
        <w:t>-</w:t>
      </w:r>
      <w:r>
        <w:rPr>
          <w:rStyle w:val="GvdemetniKaln"/>
        </w:rPr>
        <w:t>14.10] saat</w:t>
      </w:r>
      <w:r>
        <w:rPr>
          <w:rStyle w:val="GvdemetniKaln"/>
        </w:rPr>
        <w:t>leri arasında SİLİVRİ 1. İCRA MÜ</w:t>
      </w:r>
      <w:r>
        <w:rPr>
          <w:rStyle w:val="GvdemetniKaln"/>
        </w:rPr>
        <w:softHyphen/>
        <w:t xml:space="preserve">DÜRLÜĞÜNDE </w:t>
      </w:r>
      <w:r>
        <w:t xml:space="preserve">ikinci artırmaya çıkarılacaktır. Bu artırmada da rüçhanlı alacaklıların alacağını ve satış giderlerini geçmesi şartıyla en çok artırana ihale olunur. Şu kadar ki, artırma bedelinin malın tahmin edilen kıymetinin </w:t>
      </w:r>
      <w:r>
        <w:t xml:space="preserve">% 40 </w:t>
      </w:r>
      <w:proofErr w:type="spellStart"/>
      <w:r>
        <w:t>ını</w:t>
      </w:r>
      <w:proofErr w:type="spellEnd"/>
      <w:r>
        <w:t xml:space="preserve"> bulması ve sa</w:t>
      </w:r>
      <w:r>
        <w:softHyphen/>
        <w:t>tış isteyenin alacağına rüçhanı olan alacakların toplamından fazla olması ve bundan başka paraya çevirme ve paylaştır</w:t>
      </w:r>
      <w:r>
        <w:softHyphen/>
        <w:t>ma masraflarını geçmesi lazımdır. Böyle fazla bedelle alıcı çıkmazsa satış talebi düşecektir.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numPr>
          <w:ilvl w:val="0"/>
          <w:numId w:val="1"/>
        </w:numPr>
        <w:shd w:val="clear" w:color="auto" w:fill="auto"/>
        <w:tabs>
          <w:tab w:val="left" w:pos="212"/>
        </w:tabs>
        <w:ind w:left="20" w:right="320"/>
        <w:jc w:val="both"/>
      </w:pPr>
      <w:r>
        <w:t>Artırmaya iştirak ede</w:t>
      </w:r>
      <w:r>
        <w:t>ceklerin, tahmin edilen değerin % 20"si oranında pey akçesi veya bu miktar kadar banka teminat mektubu vermeleri lazımdır. Satış peşin para iledir, alıcı istediğinde (10) günü geçmemek üzere süre verilebilir, ihale damga vergisi, 1/2 tapu harç ve masraflar</w:t>
      </w:r>
      <w:r>
        <w:t xml:space="preserve">ı, KDV. </w:t>
      </w:r>
      <w:proofErr w:type="gramStart"/>
      <w:r>
        <w:t>tahliye</w:t>
      </w:r>
      <w:proofErr w:type="gramEnd"/>
      <w:r>
        <w:t xml:space="preserve"> ve teslim masrafları alıcıya aittir. </w:t>
      </w:r>
      <w:proofErr w:type="gramStart"/>
      <w:r>
        <w:t>Tellaliye</w:t>
      </w:r>
      <w:proofErr w:type="gramEnd"/>
      <w:r>
        <w:t xml:space="preserve"> harcı, 1/2 tapu harç ve masrafları ile aynından doğan vergi borçlarının tamamı satış bedelinden ödenir.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numPr>
          <w:ilvl w:val="0"/>
          <w:numId w:val="1"/>
        </w:numPr>
        <w:shd w:val="clear" w:color="auto" w:fill="auto"/>
        <w:tabs>
          <w:tab w:val="left" w:pos="231"/>
        </w:tabs>
        <w:ind w:left="20" w:right="320"/>
        <w:jc w:val="both"/>
      </w:pPr>
      <w:r>
        <w:t>İpotek sahibi alacaklılarla diğer ilgilerin (*) bu gayrimenkul üzerindeki haklarını özell</w:t>
      </w:r>
      <w:r>
        <w:t>ikle faiz ve giderlere dair olan id</w:t>
      </w:r>
      <w:r>
        <w:softHyphen/>
        <w:t>dialarını dayanağı belgeler ile (15) gün içinde dairemize bildirmeleri lazımdır; aksi takdirde hakları tapu sicil ile sabit ol</w:t>
      </w:r>
      <w:r>
        <w:softHyphen/>
        <w:t>madıkça paylaşmadan hariç bırakılacaktır.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numPr>
          <w:ilvl w:val="0"/>
          <w:numId w:val="1"/>
        </w:numPr>
        <w:shd w:val="clear" w:color="auto" w:fill="auto"/>
        <w:tabs>
          <w:tab w:val="left" w:pos="202"/>
        </w:tabs>
        <w:ind w:left="20" w:right="200"/>
      </w:pPr>
      <w:r>
        <w:t>Taşınmazı satın alanlar, ihaleye alacağına mahsuben</w:t>
      </w:r>
      <w:r>
        <w:t xml:space="preserve"> iştirak etmemiş olmak kaydıyla, ihalenin feshi talep edilmiş olsa bile satış bedelinin derhal ve İ.İ.K.m.130 maddeye göre verilen süre içinde nakden ödemek zorundadır.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numPr>
          <w:ilvl w:val="0"/>
          <w:numId w:val="1"/>
        </w:numPr>
        <w:shd w:val="clear" w:color="auto" w:fill="auto"/>
        <w:tabs>
          <w:tab w:val="left" w:pos="217"/>
        </w:tabs>
        <w:ind w:left="20" w:right="320"/>
        <w:jc w:val="both"/>
      </w:pPr>
      <w:r>
        <w:t>Satış bedeli hemen veya verilen mühlet içinde ödenmezse İcra ve İflas Kanununun 133 ünc</w:t>
      </w:r>
      <w:r>
        <w:t>ü maddesi gereğince iha</w:t>
      </w:r>
      <w:r>
        <w:softHyphen/>
        <w:t>le feshedilir. İki ihale arasındaki farktan ve %10 faizden alıcı ve kefilleri mesul tutulacak ve hiçbir hükme hacet kalmadan kendilerinden tahsil edilecektir.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numPr>
          <w:ilvl w:val="0"/>
          <w:numId w:val="1"/>
        </w:numPr>
        <w:shd w:val="clear" w:color="auto" w:fill="auto"/>
        <w:tabs>
          <w:tab w:val="left" w:pos="212"/>
        </w:tabs>
        <w:ind w:left="20" w:right="200"/>
      </w:pPr>
      <w:r>
        <w:t>Şartname, ilan tarihinden itibaren herkesin görebilmesi için dairede açık</w:t>
      </w:r>
      <w:r>
        <w:t xml:space="preserve"> olup gideri verildiği takdirde isteyen </w:t>
      </w:r>
      <w:proofErr w:type="spellStart"/>
      <w:r>
        <w:t>şlıcıya</w:t>
      </w:r>
      <w:proofErr w:type="spellEnd"/>
      <w:r>
        <w:t xml:space="preserve"> bir örneği gönderilebilir.</w:t>
      </w:r>
    </w:p>
    <w:p w:rsidR="00D64FB9" w:rsidRDefault="00A23E00">
      <w:pPr>
        <w:pStyle w:val="Gvdemetni0"/>
        <w:framePr w:w="9034" w:h="9293" w:hRule="exact" w:wrap="none" w:vAnchor="page" w:hAnchor="page" w:x="1449" w:y="3913"/>
        <w:numPr>
          <w:ilvl w:val="0"/>
          <w:numId w:val="1"/>
        </w:numPr>
        <w:shd w:val="clear" w:color="auto" w:fill="auto"/>
        <w:tabs>
          <w:tab w:val="left" w:pos="212"/>
        </w:tabs>
        <w:ind w:left="20" w:right="200"/>
      </w:pPr>
      <w:r>
        <w:t>Satışı iştirak edenlerin şartnameyi görmüş ve münderecatını kabul etmiş sayılacakları, başkaca bilgi almak isteyenle</w:t>
      </w:r>
      <w:r>
        <w:softHyphen/>
        <w:t>rin memurluğumuza başvurmaları ilan olunur.</w:t>
      </w:r>
    </w:p>
    <w:p w:rsidR="00D64FB9" w:rsidRDefault="00A23E00">
      <w:pPr>
        <w:pStyle w:val="Gvdemetni20"/>
        <w:framePr w:w="9034" w:h="9293" w:hRule="exact" w:wrap="none" w:vAnchor="page" w:hAnchor="page" w:x="1449" w:y="3913"/>
        <w:shd w:val="clear" w:color="auto" w:fill="auto"/>
        <w:ind w:left="20"/>
      </w:pPr>
      <w:r>
        <w:t>(İİK m. 126) (*) İlg</w:t>
      </w:r>
      <w:r>
        <w:t xml:space="preserve">ililer tabirine irtifak hakkı sahipleri de </w:t>
      </w:r>
      <w:proofErr w:type="gramStart"/>
      <w:r>
        <w:t>dahildir</w:t>
      </w:r>
      <w:proofErr w:type="gramEnd"/>
      <w:r>
        <w:t>.</w:t>
      </w:r>
    </w:p>
    <w:p w:rsidR="00D64FB9" w:rsidRDefault="00A23E00">
      <w:pPr>
        <w:pStyle w:val="Gvdemetni20"/>
        <w:framePr w:w="9034" w:h="9293" w:hRule="exact" w:wrap="none" w:vAnchor="page" w:hAnchor="page" w:x="1449" w:y="3913"/>
        <w:shd w:val="clear" w:color="auto" w:fill="auto"/>
        <w:ind w:left="6580"/>
      </w:pPr>
      <w:r>
        <w:t xml:space="preserve">Basın: 76727 </w:t>
      </w:r>
      <w:hyperlink r:id="rId8" w:history="1">
        <w:r>
          <w:rPr>
            <w:rStyle w:val="Kpr"/>
            <w:lang w:val="en-US"/>
          </w:rPr>
          <w:t>www.bik.gov.tr</w:t>
        </w:r>
      </w:hyperlink>
    </w:p>
    <w:p w:rsidR="00D64FB9" w:rsidRDefault="00D64FB9" w:rsidP="005917C6">
      <w:pPr>
        <w:pStyle w:val="Balk1"/>
      </w:pPr>
    </w:p>
    <w:p w:rsidR="005917C6" w:rsidRDefault="005917C6" w:rsidP="005917C6"/>
    <w:p w:rsidR="005917C6" w:rsidRDefault="005917C6" w:rsidP="005917C6"/>
    <w:p w:rsidR="005917C6" w:rsidRDefault="005917C6" w:rsidP="005917C6"/>
    <w:p w:rsidR="005917C6" w:rsidRDefault="005917C6" w:rsidP="005917C6"/>
    <w:p w:rsidR="005917C6" w:rsidRPr="005917C6" w:rsidRDefault="005917C6" w:rsidP="005917C6">
      <w:r>
        <w:tab/>
        <w:t>T.C. SİLİVRİ 1. İCRA MÜDÜRLÜĞÜ TAŞINMAZIN AÇIK ARTTIRMA İLANI</w:t>
      </w:r>
    </w:p>
    <w:sectPr w:rsidR="005917C6" w:rsidRPr="005917C6" w:rsidSect="00D64FB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00" w:rsidRDefault="00A23E00" w:rsidP="00D64FB9">
      <w:r>
        <w:separator/>
      </w:r>
    </w:p>
  </w:endnote>
  <w:endnote w:type="continuationSeparator" w:id="0">
    <w:p w:rsidR="00A23E00" w:rsidRDefault="00A23E00" w:rsidP="00D6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00" w:rsidRDefault="00A23E00"/>
  </w:footnote>
  <w:footnote w:type="continuationSeparator" w:id="0">
    <w:p w:rsidR="00A23E00" w:rsidRDefault="00A23E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381D"/>
    <w:multiLevelType w:val="multilevel"/>
    <w:tmpl w:val="2834C1D2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64FB9"/>
    <w:rsid w:val="005917C6"/>
    <w:rsid w:val="00A23E00"/>
    <w:rsid w:val="00D6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FB9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5917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64FB9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D64FB9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Gvdemetni">
    <w:name w:val="Gövde metni_"/>
    <w:basedOn w:val="VarsaylanParagrafYazTipi"/>
    <w:link w:val="Gvdemetni0"/>
    <w:rsid w:val="00D64FB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Gvdemetnitalik0ptbolukbraklyor">
    <w:name w:val="Gövde metni + İtalik;0 pt boşluk bırakılıyor"/>
    <w:basedOn w:val="Gvdemetni"/>
    <w:rsid w:val="00D64FB9"/>
    <w:rPr>
      <w:i/>
      <w:iCs/>
      <w:color w:val="000000"/>
      <w:spacing w:val="6"/>
      <w:w w:val="100"/>
      <w:position w:val="0"/>
      <w:lang w:val="tr-TR"/>
    </w:rPr>
  </w:style>
  <w:style w:type="character" w:customStyle="1" w:styleId="GvdemetniKaln">
    <w:name w:val="Gövde metni + Kalın"/>
    <w:basedOn w:val="Gvdemetni"/>
    <w:rsid w:val="00D64FB9"/>
    <w:rPr>
      <w:b/>
      <w:bCs/>
      <w:color w:val="000000"/>
      <w:w w:val="100"/>
      <w:position w:val="0"/>
      <w:lang w:val="tr-TR"/>
    </w:rPr>
  </w:style>
  <w:style w:type="character" w:customStyle="1" w:styleId="Gvdemetni211ptbolukbraklyor">
    <w:name w:val="Gövde metni (2) + 11 pt boşluk bırakılıyor"/>
    <w:basedOn w:val="Gvdemetni2"/>
    <w:rsid w:val="00D64FB9"/>
    <w:rPr>
      <w:color w:val="000000"/>
      <w:spacing w:val="233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D64FB9"/>
    <w:pPr>
      <w:shd w:val="clear" w:color="auto" w:fill="FFFFFF"/>
      <w:spacing w:line="158" w:lineRule="exact"/>
    </w:pPr>
    <w:rPr>
      <w:rFonts w:ascii="Arial" w:eastAsia="Arial" w:hAnsi="Arial" w:cs="Arial"/>
      <w:b/>
      <w:bCs/>
      <w:spacing w:val="-1"/>
      <w:sz w:val="14"/>
      <w:szCs w:val="14"/>
    </w:rPr>
  </w:style>
  <w:style w:type="paragraph" w:customStyle="1" w:styleId="Gvdemetni0">
    <w:name w:val="Gövde metni"/>
    <w:basedOn w:val="Normal"/>
    <w:link w:val="Gvdemetni"/>
    <w:rsid w:val="00D64FB9"/>
    <w:pPr>
      <w:shd w:val="clear" w:color="auto" w:fill="FFFFFF"/>
      <w:spacing w:line="158" w:lineRule="exact"/>
    </w:pPr>
    <w:rPr>
      <w:rFonts w:ascii="Arial" w:eastAsia="Arial" w:hAnsi="Arial" w:cs="Arial"/>
      <w:spacing w:val="-1"/>
      <w:sz w:val="14"/>
      <w:szCs w:val="14"/>
    </w:rPr>
  </w:style>
  <w:style w:type="character" w:customStyle="1" w:styleId="Balk1Char">
    <w:name w:val="Başlık 1 Char"/>
    <w:basedOn w:val="VarsaylanParagrafYazTipi"/>
    <w:link w:val="Balk1"/>
    <w:uiPriority w:val="9"/>
    <w:rsid w:val="0059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B06E-8105-4BCF-8CFD-513542DC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2012-12-06T09:04:00Z</dcterms:created>
  <dcterms:modified xsi:type="dcterms:W3CDTF">2012-12-06T09:05:00Z</dcterms:modified>
</cp:coreProperties>
</file>