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85" w:rsidRDefault="00E57425">
      <w:pPr>
        <w:pStyle w:val="Gvdemetni20"/>
        <w:shd w:val="clear" w:color="auto" w:fill="000000"/>
        <w:ind w:left="440" w:right="320"/>
      </w:pPr>
      <w:r>
        <w:rPr>
          <w:rStyle w:val="Gvdemetni21"/>
          <w:b/>
          <w:bCs/>
        </w:rPr>
        <w:t>GAYRİMENKULUN</w:t>
      </w:r>
      <w:r w:rsidR="0019534E">
        <w:rPr>
          <w:rStyle w:val="Gvdemetni21"/>
          <w:b/>
          <w:bCs/>
          <w:lang w:val="en-US"/>
        </w:rPr>
        <w:t xml:space="preserve"> </w:t>
      </w:r>
      <w:r>
        <w:rPr>
          <w:rStyle w:val="Gvdemetni21"/>
          <w:b/>
          <w:bCs/>
        </w:rPr>
        <w:t>AÇIK ARTIRMA İLANI VE</w:t>
      </w:r>
      <w:r w:rsidR="0019534E">
        <w:rPr>
          <w:rStyle w:val="Gvdemetni21"/>
          <w:b/>
          <w:bCs/>
        </w:rPr>
        <w:t xml:space="preserve"> </w:t>
      </w:r>
      <w:r>
        <w:rPr>
          <w:rStyle w:val="Gvdemetni21"/>
          <w:b/>
          <w:bCs/>
        </w:rPr>
        <w:t xml:space="preserve">İLANEN TEBLİĞ ANTALYA 4. SULH HUKUK MAHKEMESİ SATIŞ </w:t>
      </w:r>
      <w:r w:rsidR="0019534E">
        <w:rPr>
          <w:rStyle w:val="Gvdemetni21"/>
          <w:b/>
          <w:bCs/>
        </w:rPr>
        <w:t>MEMURLUĞUNDAN)</w:t>
      </w:r>
    </w:p>
    <w:p w:rsidR="00CF0285" w:rsidRDefault="00E57425">
      <w:pPr>
        <w:pStyle w:val="Gvdemetni30"/>
        <w:shd w:val="clear" w:color="auto" w:fill="auto"/>
        <w:spacing w:line="150" w:lineRule="exact"/>
        <w:ind w:left="440"/>
      </w:pPr>
      <w:r>
        <w:t>DOSYA NO:2011719-SATIŞ</w:t>
      </w:r>
    </w:p>
    <w:p w:rsidR="00E57425" w:rsidRDefault="00E57425">
      <w:pPr>
        <w:pStyle w:val="Gvdemetni30"/>
        <w:shd w:val="clear" w:color="auto" w:fill="auto"/>
        <w:spacing w:line="150" w:lineRule="exact"/>
        <w:ind w:left="440"/>
      </w:pPr>
    </w:p>
    <w:p w:rsidR="00CF0285" w:rsidRDefault="0019534E">
      <w:pPr>
        <w:pStyle w:val="Gvdemetni0"/>
        <w:shd w:val="clear" w:color="auto" w:fill="auto"/>
        <w:ind w:left="100" w:right="180" w:firstLine="640"/>
      </w:pPr>
      <w:r>
        <w:t>Antalya Merkez Kepez ilçesi, Duraliler mah. 20022 ada, 7 parsel Antalya 4.Sulh ıcı&amp; Mahkemesinin 2011/8 E. 2011/986 K. sayılı karan gereğince satılacaktır.</w:t>
      </w:r>
    </w:p>
    <w:p w:rsidR="00E57425" w:rsidRDefault="0019534E">
      <w:pPr>
        <w:pStyle w:val="Gvdemetni0"/>
        <w:shd w:val="clear" w:color="auto" w:fill="auto"/>
        <w:ind w:left="100" w:right="180" w:firstLine="640"/>
      </w:pPr>
      <w:r>
        <w:t>1- Satışa konu 7 no</w:t>
      </w:r>
      <w:r w:rsidR="00E57425">
        <w:t>.</w:t>
      </w:r>
      <w:r>
        <w:t xml:space="preserve">lu parsel Konyaaltı Belediyesi uygulama imar planı içersinde 2.00 M2 yüzölçümlü arsa vasfındadır. Tapuda, 1234/2102 hissesi İsmail oğlu Tevfık Ulusoy, </w:t>
      </w:r>
      <w:r w:rsidR="00E57425">
        <w:t>434/1051 hissi Ahmet oğlu Hasan Kartal adına tescillidir.</w:t>
      </w:r>
    </w:p>
    <w:p w:rsidR="00CF0285" w:rsidRDefault="00E57425">
      <w:pPr>
        <w:pStyle w:val="Gvdemetni0"/>
        <w:shd w:val="clear" w:color="auto" w:fill="auto"/>
        <w:ind w:left="100" w:right="180" w:firstLine="640"/>
      </w:pPr>
      <w:r>
        <w:t>An</w:t>
      </w:r>
      <w:r w:rsidR="0019534E">
        <w:t>talya Çakırlar yolu ile Uncalı cad. kesişt</w:t>
      </w:r>
      <w:r>
        <w:t>iği ışıklı kavşağa yakın olup, U</w:t>
      </w:r>
      <w:r w:rsidR="0019534E">
        <w:t xml:space="preserve">ncalı caddesinden </w:t>
      </w:r>
      <w:r>
        <w:t xml:space="preserve">batıya </w:t>
      </w:r>
      <w:r w:rsidR="0019534E">
        <w:t>do</w:t>
      </w:r>
      <w:r>
        <w:t>ğru giden 1406 sokağa cepheli, U</w:t>
      </w:r>
      <w:r w:rsidR="0019534E">
        <w:t>ncalı caddesinin bir parse</w:t>
      </w:r>
      <w:r>
        <w:t>l batısında kuzey yönden 406 sk.</w:t>
      </w:r>
      <w:r w:rsidR="0019534E">
        <w:t xml:space="preserve"> batı yönden 1409 sk. cehpeli, etrafında çok katlı imara uygun yapılaşmalar olup meskun</w:t>
      </w:r>
      <w:r>
        <w:t xml:space="preserve"> alan içerisinde</w:t>
      </w:r>
      <w:r w:rsidR="0019534E">
        <w:t xml:space="preserve">, batısında şehir mezarlığı olup, taşınmaz boş arsa vasfında, her türlü altyapı ve </w:t>
      </w:r>
      <w:r>
        <w:t>be</w:t>
      </w:r>
      <w:r w:rsidR="0019534E">
        <w:t xml:space="preserve">lediye hizmeti mevcut, ulaşım asfalt yolla yapılmakta, dolmuş ve otobüs güzergâhlarına </w:t>
      </w:r>
      <w:r>
        <w:t xml:space="preserve">çok yakın </w:t>
      </w:r>
      <w:r w:rsidR="0019534E">
        <w:t>olduğu bilirkişi raporu ile tespit edilmiştir.</w:t>
      </w:r>
    </w:p>
    <w:p w:rsidR="00CF0285" w:rsidRDefault="0019534E">
      <w:pPr>
        <w:pStyle w:val="Gvdemetni0"/>
        <w:shd w:val="clear" w:color="auto" w:fill="auto"/>
        <w:ind w:left="100" w:right="180"/>
      </w:pPr>
      <w:r>
        <w:rPr>
          <w:rStyle w:val="GvdemetniKaln"/>
        </w:rPr>
        <w:t>İ</w:t>
      </w:r>
      <w:r w:rsidR="00E57425">
        <w:rPr>
          <w:rStyle w:val="GvdemetniKaln"/>
        </w:rPr>
        <w:t>M</w:t>
      </w:r>
      <w:r>
        <w:rPr>
          <w:rStyle w:val="GvdemetniKaln"/>
        </w:rPr>
        <w:t xml:space="preserve">AR DURUMU </w:t>
      </w:r>
      <w:r>
        <w:rPr>
          <w:rStyle w:val="Gvdemetni1"/>
        </w:rPr>
        <w:t>:</w:t>
      </w:r>
      <w:r>
        <w:t xml:space="preserve"> Antalya Kepez ilçesi Duraliler Mah., 20022 ada 7 no</w:t>
      </w:r>
      <w:r w:rsidR="00E57425">
        <w:t>.</w:t>
      </w:r>
      <w:r>
        <w:t xml:space="preserve">lu parsel 2101,00 M2 </w:t>
      </w:r>
      <w:r w:rsidR="00E57425">
        <w:t>yü</w:t>
      </w:r>
      <w:r>
        <w:t xml:space="preserve">zölçümlü arsa vasfında, 1/1000 ölçekli uygulama imar planı içersinde, imar çapına göre ayrık </w:t>
      </w:r>
      <w:r w:rsidR="00E57425">
        <w:t xml:space="preserve">nizam </w:t>
      </w:r>
      <w:r>
        <w:t>5 katlı TAKS=0,24, KAKS= 1,20 olan konut alanında kalmakta, posta adresi Molla Yusuf . Uncalı cad. 1406 sokaktadır, aşı yapılacak 7 no</w:t>
      </w:r>
      <w:r w:rsidR="00E57425">
        <w:t>.</w:t>
      </w:r>
      <w:r>
        <w:t>lu parselin muhammen bedeli: 1.681.600,00 TL.</w:t>
      </w:r>
    </w:p>
    <w:p w:rsidR="00CF0285" w:rsidRDefault="00E57425">
      <w:pPr>
        <w:pStyle w:val="Gvdemetni0"/>
        <w:shd w:val="clear" w:color="auto" w:fill="auto"/>
        <w:ind w:left="100" w:right="180"/>
      </w:pPr>
      <w:r>
        <w:rPr>
          <w:rStyle w:val="GvdemetniKaln"/>
        </w:rPr>
        <w:t>T</w:t>
      </w:r>
      <w:r w:rsidR="0019534E">
        <w:rPr>
          <w:rStyle w:val="GvdemetniKaln"/>
        </w:rPr>
        <w:t>AŞINMAZIN 1. SATIŞ GÜNÜ :</w:t>
      </w:r>
      <w:r w:rsidR="0019534E">
        <w:rPr>
          <w:rStyle w:val="GvdemetniKaln0"/>
        </w:rPr>
        <w:t xml:space="preserve"> </w:t>
      </w:r>
      <w:r w:rsidR="0019534E">
        <w:t>11/09/2012 günü saat: 16.00-16.10 arasında Antalya Adliye _ yı Antalya 4. Sulh Hukuk Mahkemesi duruşma salonunda açık artırma ile yapılacaktır. Bu şta muhammen bedelin %60'nı, satış masrafını alacağını geçmediği takdirde; en çok artıranın hStü baki kalmak şartıyla,</w:t>
      </w:r>
    </w:p>
    <w:p w:rsidR="00CF0285" w:rsidRDefault="00E57425">
      <w:pPr>
        <w:pStyle w:val="Gvdemetni0"/>
        <w:shd w:val="clear" w:color="auto" w:fill="auto"/>
        <w:ind w:left="100" w:right="180"/>
      </w:pPr>
      <w:r>
        <w:rPr>
          <w:rStyle w:val="GvdemetniKaln"/>
        </w:rPr>
        <w:t>T</w:t>
      </w:r>
      <w:r w:rsidR="0019534E">
        <w:rPr>
          <w:rStyle w:val="GvdemetniKaln"/>
        </w:rPr>
        <w:t xml:space="preserve">AŞINMAZIN 2. SATIŞ GÜNÜ </w:t>
      </w:r>
      <w:r w:rsidR="0019534E">
        <w:rPr>
          <w:rStyle w:val="Gvdemetni1"/>
        </w:rPr>
        <w:t>:</w:t>
      </w:r>
      <w:r w:rsidR="0019534E">
        <w:t xml:space="preserve"> 21/09/2012 günü AYNI YER VE SAAT</w:t>
      </w:r>
      <w:r w:rsidR="0019534E">
        <w:rPr>
          <w:rStyle w:val="Gvdemetni1"/>
        </w:rPr>
        <w:t>LER</w:t>
      </w:r>
      <w:r w:rsidR="0019534E">
        <w:t xml:space="preserve">DE AÇIK </w:t>
      </w:r>
      <w:r>
        <w:t>AR</w:t>
      </w:r>
      <w:r w:rsidR="0019534E">
        <w:t>TIRMA İLE YAPILACAKTIR, ikinci satışta muhammen bedelin %40'nı, satış masraflarını</w:t>
      </w:r>
    </w:p>
    <w:p w:rsidR="00CF0285" w:rsidRDefault="00E57425">
      <w:pPr>
        <w:pStyle w:val="Gvdemetni0"/>
        <w:shd w:val="clear" w:color="auto" w:fill="auto"/>
        <w:spacing w:line="187" w:lineRule="exact"/>
        <w:ind w:left="100" w:right="180"/>
      </w:pPr>
      <w:r>
        <w:t>s</w:t>
      </w:r>
      <w:r w:rsidR="0019534E">
        <w:t xml:space="preserve">atış peşin para ile olup, ancak isteyen alıcıya 10 günü geçmemek üzere mehil verilebilir. Satışa ştirak eden değerinin %20'si nispetinde teminat yatırması şarttır. Teminat TL. Veya banka </w:t>
      </w:r>
      <w:r>
        <w:t>t</w:t>
      </w:r>
      <w:r w:rsidR="0019534E">
        <w:t>eminat mektubu olabilir. Döviz kabul edilmeyecektir.</w:t>
      </w:r>
    </w:p>
    <w:p w:rsidR="00E57425" w:rsidRDefault="00E57425">
      <w:pPr>
        <w:pStyle w:val="Gvdemetni0"/>
        <w:shd w:val="clear" w:color="auto" w:fill="auto"/>
        <w:spacing w:line="187" w:lineRule="exact"/>
        <w:ind w:left="100" w:right="180"/>
      </w:pPr>
    </w:p>
    <w:p w:rsidR="00CF0285" w:rsidRDefault="0019534E">
      <w:pPr>
        <w:pStyle w:val="Gvdemetni0"/>
        <w:shd w:val="clear" w:color="auto" w:fill="auto"/>
        <w:spacing w:line="187" w:lineRule="exact"/>
        <w:ind w:left="100" w:right="180"/>
      </w:pPr>
      <w:r>
        <w:t>Bu taşınmaz üzerinde hakkı olan alacaklı veya ilgiliden artırmaya iştiraki halinde alacağı mezkur nisbet reddesinde ise ayrıca pey akçesi ve teminat aranmaz.</w:t>
      </w:r>
    </w:p>
    <w:p w:rsidR="00CF0285" w:rsidRDefault="0019534E">
      <w:pPr>
        <w:pStyle w:val="Gvdemetni0"/>
        <w:shd w:val="clear" w:color="auto" w:fill="auto"/>
        <w:spacing w:line="187" w:lineRule="exact"/>
        <w:ind w:left="100" w:right="180" w:firstLine="640"/>
      </w:pPr>
      <w:r>
        <w:t xml:space="preserve">Damga resmi, </w:t>
      </w:r>
      <w:r>
        <w:rPr>
          <w:rStyle w:val="Gvdemetnitalik"/>
        </w:rPr>
        <w:t>%</w:t>
      </w:r>
      <w:r>
        <w:t xml:space="preserve"> 18 KDV, 4 no</w:t>
      </w:r>
      <w:r w:rsidR="00E57425">
        <w:t>.</w:t>
      </w:r>
      <w:r>
        <w:t>l</w:t>
      </w:r>
      <w:r w:rsidR="00E57425">
        <w:t xml:space="preserve">u bağımsız bölüm için KDV, Tapu alım harcı, Tahliye ve teslim </w:t>
      </w:r>
      <w:r>
        <w:t xml:space="preserve">masrafları alıcı tarafından, birikmiş vergi borçlan satış bedelinden ödenir. İpotek sahibi alacaklılarla diğer ilgililerin(*) </w:t>
      </w:r>
      <w:r w:rsidR="00E57425">
        <w:t>bu gayrimenkul üzerindeki hakları</w:t>
      </w:r>
      <w:r>
        <w:t>nı hususiyle faiz ve masrafa dair olan iddialarını dayanağı belgeler ile onbeş gün içinde dairemize bildirmeleri lazımdır. Aksi halde hakları tapu sicili ile sabit olmadıkça paylaşmadan hariç tutulacaklardır.</w:t>
      </w:r>
    </w:p>
    <w:p w:rsidR="00CF0285" w:rsidRDefault="0019534E">
      <w:pPr>
        <w:pStyle w:val="Gvdemetni0"/>
        <w:shd w:val="clear" w:color="auto" w:fill="auto"/>
        <w:spacing w:line="187" w:lineRule="exact"/>
        <w:ind w:left="100" w:right="180" w:firstLine="640"/>
      </w:pPr>
      <w:r>
        <w:t>İhaleye katılıp daha sonra ihale bedelini yatırmamak suretiyle ihalenin feshine sebep olan tüm alıcılar ve kefilleri teklif ettikleri bedel ile son ihale bedeli arasındaki far</w:t>
      </w:r>
      <w:r w:rsidR="00E57425">
        <w:t>ktan ve diğer zararlardan ve ayrı</w:t>
      </w:r>
      <w:r>
        <w:t>ca temerrüt faizinden müteselsilen mesul olacaklardır. İhale farkı ve temerrüt faizi ayrıca bir hükme hacet kalmaksızın Dairemizce tahsil olunacak, bu fark varsa öncelikle teminat bedelinden alınacaktır.</w:t>
      </w:r>
    </w:p>
    <w:p w:rsidR="00CF0285" w:rsidRDefault="0019534E">
      <w:pPr>
        <w:pStyle w:val="Gvdemetni0"/>
        <w:shd w:val="clear" w:color="auto" w:fill="auto"/>
        <w:spacing w:line="187" w:lineRule="exact"/>
        <w:ind w:left="100" w:right="180" w:firstLine="640"/>
      </w:pPr>
      <w:r>
        <w:t>Satış tapu kaydındaki tüm yükümlüler ile birlikte yapılacaktır. İhaleye iştirak eden alıcılar şartnameyi görmüş ve münde</w:t>
      </w:r>
      <w:r w:rsidR="00E57425">
        <w:t>recatım kabul etmiş sayılacakları, ayrıca tüm ilgili ve hissedarlar Has</w:t>
      </w:r>
      <w:r>
        <w:t xml:space="preserve">an Kartal </w:t>
      </w:r>
      <w:r w:rsidR="00E57425">
        <w:t>vek. Av. Salih Bayram A</w:t>
      </w:r>
      <w:r>
        <w:t>kıncı, M. Tevfik Ulusoy vek. Av. Fatih Abay ’a gayrime</w:t>
      </w:r>
      <w:r w:rsidR="00E57425">
        <w:t>nkulun satış ilanı tebliğe çıkarı</w:t>
      </w:r>
      <w:r>
        <w:t>lmış olup, satış ilanı tebliğ edilemeyen hissedar ve ilgililere işbu gazete ilanı tebliğ yerine geçerlidir. Başkaca bilgi almak isteyenlerin, memurluğumuzun 2011/19-satış sayılı</w:t>
      </w:r>
      <w:r w:rsidR="00E57425">
        <w:t xml:space="preserve"> dosyasına başvurmaları</w:t>
      </w:r>
      <w:r>
        <w:t xml:space="preserve"> tüm hissedar ve ilgililere İLANEN TEBLİĞ OLUNUR.</w:t>
      </w:r>
    </w:p>
    <w:p w:rsidR="00CF0285" w:rsidRDefault="0019534E">
      <w:pPr>
        <w:pStyle w:val="Gvdemetni0"/>
        <w:shd w:val="clear" w:color="auto" w:fill="auto"/>
        <w:spacing w:line="187" w:lineRule="exact"/>
        <w:ind w:left="100"/>
      </w:pPr>
      <w:r>
        <w:t>(*) İlgililer tabirine irtifak hakkı sahipleri de dahildir.</w:t>
      </w:r>
    </w:p>
    <w:p w:rsidR="00CF0285" w:rsidRDefault="0019534E">
      <w:pPr>
        <w:pStyle w:val="Gvdemetni30"/>
        <w:shd w:val="clear" w:color="auto" w:fill="auto"/>
        <w:spacing w:line="187" w:lineRule="exact"/>
        <w:ind w:left="2760"/>
      </w:pPr>
      <w:r>
        <w:t xml:space="preserve">B.: 37862 </w:t>
      </w:r>
    </w:p>
    <w:sectPr w:rsidR="00CF0285" w:rsidSect="00CF0285">
      <w:type w:val="continuous"/>
      <w:pgSz w:w="11909" w:h="16834"/>
      <w:pgMar w:top="3069" w:right="2683" w:bottom="3155" w:left="27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D6" w:rsidRDefault="005F69D6" w:rsidP="00CF0285">
      <w:r>
        <w:separator/>
      </w:r>
    </w:p>
  </w:endnote>
  <w:endnote w:type="continuationSeparator" w:id="1">
    <w:p w:rsidR="005F69D6" w:rsidRDefault="005F69D6" w:rsidP="00CF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D6" w:rsidRDefault="005F69D6"/>
  </w:footnote>
  <w:footnote w:type="continuationSeparator" w:id="1">
    <w:p w:rsidR="005F69D6" w:rsidRDefault="005F69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0285"/>
    <w:rsid w:val="0019534E"/>
    <w:rsid w:val="005F69D6"/>
    <w:rsid w:val="008846FA"/>
    <w:rsid w:val="00B272E6"/>
    <w:rsid w:val="00CF0285"/>
    <w:rsid w:val="00E5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028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F0285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CF02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Gvdemetni21">
    <w:name w:val="Gövde metni (2)"/>
    <w:basedOn w:val="Gvdemetni2"/>
    <w:rsid w:val="00CF0285"/>
    <w:rPr>
      <w:color w:val="FFFFFF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CF02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">
    <w:name w:val="Gövde metni_"/>
    <w:basedOn w:val="VarsaylanParagrafYazTipi"/>
    <w:link w:val="Gvdemetni0"/>
    <w:rsid w:val="00CF0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Kaln">
    <w:name w:val="Gövde metni + Kalın"/>
    <w:basedOn w:val="Gvdemetni"/>
    <w:rsid w:val="00CF0285"/>
    <w:rPr>
      <w:b/>
      <w:bCs/>
      <w:color w:val="000000"/>
      <w:spacing w:val="0"/>
      <w:w w:val="100"/>
      <w:position w:val="0"/>
      <w:u w:val="single"/>
      <w:lang w:val="tr-TR"/>
    </w:rPr>
  </w:style>
  <w:style w:type="character" w:customStyle="1" w:styleId="Gvdemetni1">
    <w:name w:val="Gövde metni"/>
    <w:basedOn w:val="Gvdemetni"/>
    <w:rsid w:val="00CF0285"/>
    <w:rPr>
      <w:color w:val="000000"/>
      <w:spacing w:val="0"/>
      <w:w w:val="100"/>
      <w:position w:val="0"/>
      <w:u w:val="single"/>
      <w:lang w:val="tr-TR"/>
    </w:rPr>
  </w:style>
  <w:style w:type="character" w:customStyle="1" w:styleId="GvdemetniKaln0">
    <w:name w:val="Gövde metni + Kalın"/>
    <w:basedOn w:val="Gvdemetni"/>
    <w:rsid w:val="00CF0285"/>
    <w:rPr>
      <w:b/>
      <w:bCs/>
      <w:color w:val="000000"/>
      <w:spacing w:val="0"/>
      <w:w w:val="100"/>
      <w:position w:val="0"/>
    </w:rPr>
  </w:style>
  <w:style w:type="character" w:customStyle="1" w:styleId="Gvdemetnitalik">
    <w:name w:val="Gövde metni + İtalik"/>
    <w:basedOn w:val="Gvdemetni"/>
    <w:rsid w:val="00CF0285"/>
    <w:rPr>
      <w:i/>
      <w:iCs/>
      <w:color w:val="000000"/>
      <w:spacing w:val="0"/>
      <w:w w:val="100"/>
      <w:position w:val="0"/>
    </w:rPr>
  </w:style>
  <w:style w:type="paragraph" w:customStyle="1" w:styleId="Gvdemetni20">
    <w:name w:val="Gövde metni (2)"/>
    <w:basedOn w:val="Normal"/>
    <w:link w:val="Gvdemetni2"/>
    <w:rsid w:val="00CF028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Gvdemetni30">
    <w:name w:val="Gövde metni (3)"/>
    <w:basedOn w:val="Normal"/>
    <w:link w:val="Gvdemetni3"/>
    <w:rsid w:val="00CF02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Gvdemetni0">
    <w:name w:val="Gövde metni"/>
    <w:basedOn w:val="Normal"/>
    <w:link w:val="Gvdemetni"/>
    <w:rsid w:val="00CF0285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tktk</cp:lastModifiedBy>
  <cp:revision>2</cp:revision>
  <dcterms:created xsi:type="dcterms:W3CDTF">2012-06-15T08:55:00Z</dcterms:created>
  <dcterms:modified xsi:type="dcterms:W3CDTF">2012-06-15T09:37:00Z</dcterms:modified>
</cp:coreProperties>
</file>