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5" w:rsidRDefault="00024625" w:rsidP="00FB05F4">
      <w:pPr>
        <w:pStyle w:val="Gvdemetni50"/>
        <w:framePr w:w="374" w:h="3214" w:hRule="exact" w:wrap="none" w:vAnchor="page" w:hAnchor="page" w:x="1031" w:y="4206"/>
        <w:shd w:val="clear" w:color="auto" w:fill="auto"/>
        <w:ind w:right="140"/>
      </w:pPr>
    </w:p>
    <w:p w:rsidR="00024625" w:rsidRDefault="00024625">
      <w:pPr>
        <w:pStyle w:val="Gvdemetni80"/>
        <w:framePr w:w="374" w:h="3214" w:hRule="exact" w:wrap="none" w:vAnchor="page" w:hAnchor="page" w:x="1031" w:y="4206"/>
        <w:shd w:val="clear" w:color="auto" w:fill="auto"/>
        <w:spacing w:line="150" w:lineRule="exact"/>
        <w:ind w:left="120"/>
      </w:pPr>
    </w:p>
    <w:p w:rsidR="00024625" w:rsidRDefault="00890704">
      <w:pPr>
        <w:pStyle w:val="Gvdemetni20"/>
        <w:framePr w:w="2702" w:h="10099" w:hRule="exact" w:wrap="none" w:vAnchor="page" w:hAnchor="page" w:x="1583" w:y="988"/>
        <w:shd w:val="clear" w:color="auto" w:fill="auto"/>
        <w:ind w:left="20" w:firstLine="140"/>
      </w:pPr>
      <w:r>
        <w:t>2012/442 TLMT.</w:t>
      </w:r>
    </w:p>
    <w:p w:rsidR="00024625" w:rsidRDefault="00890704">
      <w:pPr>
        <w:pStyle w:val="Gvdemetni2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t>Satılmasına karar verilen taşınma</w:t>
      </w:r>
      <w:r>
        <w:softHyphen/>
        <w:t>zın cinsi, niteliği, kıymeti, adedi, önem</w:t>
      </w:r>
      <w:r>
        <w:softHyphen/>
        <w:t>li özellikleri: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rPr>
          <w:rStyle w:val="GvdemetniKaln0ptbolukbraklyor"/>
        </w:rPr>
        <w:t xml:space="preserve">Özellikleri: </w:t>
      </w:r>
      <w:r>
        <w:t>Tekirdağ ili Çorlu ilçesi Vakıf</w:t>
      </w:r>
      <w:r>
        <w:softHyphen/>
        <w:t>lar Köyü Bademlik Mevkii 2534 parsel nu</w:t>
      </w:r>
      <w:r>
        <w:softHyphen/>
        <w:t>maralı tarla vasfında taşınmaz. Üzerinde her</w:t>
      </w:r>
      <w:r>
        <w:softHyphen/>
        <w:t>hangi bir yapı olmayıp, tınlı-kumlu toprak ya</w:t>
      </w:r>
      <w:r>
        <w:softHyphen/>
        <w:t xml:space="preserve">pısında ve </w:t>
      </w:r>
      <w:proofErr w:type="gramStart"/>
      <w:r>
        <w:t>halihazırda</w:t>
      </w:r>
      <w:proofErr w:type="gramEnd"/>
      <w:r>
        <w:t xml:space="preserve"> zirai amaçla kullanıl</w:t>
      </w:r>
      <w:r>
        <w:softHyphen/>
        <w:t>dığı tespit edilmiştir. Taşınmaz Edirne-</w:t>
      </w:r>
      <w:proofErr w:type="spellStart"/>
      <w:r>
        <w:t>istan</w:t>
      </w:r>
      <w:proofErr w:type="spellEnd"/>
      <w:r>
        <w:t>- bul karayoluna cephelidir. Satışa çıkan ta</w:t>
      </w:r>
      <w:r>
        <w:softHyphen/>
        <w:t xml:space="preserve">şınmazın tapu kaydında beyanlar hanesinde </w:t>
      </w:r>
      <w:proofErr w:type="gramStart"/>
      <w:r>
        <w:t>18/09/2009</w:t>
      </w:r>
      <w:proofErr w:type="gramEnd"/>
      <w:r>
        <w:t xml:space="preserve"> tarih 23023 yevmiye ile Kara</w:t>
      </w:r>
      <w:r>
        <w:softHyphen/>
        <w:t>yolları Genel Müdürlüğü 1. Bölge Müdürlü</w:t>
      </w:r>
      <w:r>
        <w:softHyphen/>
        <w:t>ğünce 2942 Sayılı Kamulaştırma Kanunun 7, maddesine göre belirtme bulunulmuştur. (Taşınmaz borçlular adına 1/2 hisseli olup ta</w:t>
      </w:r>
      <w:r>
        <w:softHyphen/>
        <w:t>şınmazın tamamı satışa çıkarılmıştır.) *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rPr>
          <w:rStyle w:val="GvdemetniKaln0ptbolukbraklyor"/>
        </w:rPr>
        <w:t xml:space="preserve">Adresi: </w:t>
      </w:r>
      <w:r>
        <w:t>Vakıflar Köyü Bademlik Mevkii Çorlu/TEKİRDAĞ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firstLine="140"/>
      </w:pPr>
      <w:r>
        <w:rPr>
          <w:rStyle w:val="GvdemetniKaln0ptbolukbraklyor"/>
        </w:rPr>
        <w:t xml:space="preserve">Yüzölçümü: </w:t>
      </w:r>
      <w:r>
        <w:t>49.050,00 m2</w:t>
      </w:r>
    </w:p>
    <w:p w:rsidR="00024625" w:rsidRDefault="00890704">
      <w:pPr>
        <w:pStyle w:val="Gvdemetni20"/>
        <w:framePr w:w="2702" w:h="10099" w:hRule="exact" w:wrap="none" w:vAnchor="page" w:hAnchor="page" w:x="1583" w:y="988"/>
        <w:shd w:val="clear" w:color="auto" w:fill="auto"/>
        <w:ind w:left="20" w:firstLine="140"/>
      </w:pPr>
      <w:r>
        <w:t>Arsa Payı: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rPr>
          <w:rStyle w:val="GvdemetniKaln0ptbolukbraklyor"/>
        </w:rPr>
        <w:t xml:space="preserve">İmar Durumu: </w:t>
      </w:r>
      <w:r>
        <w:t>imar Planı dışında kalmak</w:t>
      </w:r>
      <w:r>
        <w:softHyphen/>
        <w:t>tadır.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firstLine="140"/>
      </w:pPr>
      <w:r>
        <w:rPr>
          <w:rStyle w:val="GvdemetniKaln0ptbolukbraklyor"/>
        </w:rPr>
        <w:t xml:space="preserve">Kıymeti: </w:t>
      </w:r>
      <w:r>
        <w:t>2.452.500,00 TL</w:t>
      </w:r>
    </w:p>
    <w:p w:rsidR="00024625" w:rsidRDefault="00890704">
      <w:pPr>
        <w:pStyle w:val="Gvdemetni20"/>
        <w:framePr w:w="2702" w:h="10099" w:hRule="exact" w:wrap="none" w:vAnchor="page" w:hAnchor="page" w:x="1583" w:y="988"/>
        <w:shd w:val="clear" w:color="auto" w:fill="auto"/>
        <w:ind w:left="20" w:firstLine="140"/>
      </w:pPr>
      <w:r>
        <w:t xml:space="preserve">KDV Oranı: </w:t>
      </w:r>
      <w:r>
        <w:rPr>
          <w:rStyle w:val="Gvdemetni2KalnDeil0ptbolukbraklyor"/>
        </w:rPr>
        <w:t>% 18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rPr>
          <w:rStyle w:val="GvdemetniKaln0ptbolukbraklyor"/>
        </w:rPr>
        <w:t xml:space="preserve">Kaydındaki Şerhler: </w:t>
      </w:r>
      <w:r>
        <w:t>Tapu kaydında oldu</w:t>
      </w:r>
      <w:r>
        <w:softHyphen/>
        <w:t>ğu gibidir.</w:t>
      </w:r>
    </w:p>
    <w:p w:rsidR="00024625" w:rsidRDefault="00890704">
      <w:pPr>
        <w:pStyle w:val="Gvdemetni0"/>
        <w:framePr w:w="2702" w:h="10099" w:hRule="exact" w:wrap="none" w:vAnchor="page" w:hAnchor="page" w:x="1583" w:y="988"/>
        <w:numPr>
          <w:ilvl w:val="0"/>
          <w:numId w:val="1"/>
        </w:numPr>
        <w:shd w:val="clear" w:color="auto" w:fill="auto"/>
        <w:tabs>
          <w:tab w:val="left" w:pos="346"/>
        </w:tabs>
        <w:ind w:left="20" w:right="20" w:firstLine="140"/>
      </w:pPr>
      <w:r>
        <w:rPr>
          <w:rStyle w:val="GvdemetniKaln0ptbolukbraklyor"/>
        </w:rPr>
        <w:t xml:space="preserve">Satış Günü: </w:t>
      </w:r>
      <w:proofErr w:type="gramStart"/>
      <w:r>
        <w:t>12/03/2013</w:t>
      </w:r>
      <w:proofErr w:type="gramEnd"/>
      <w:r>
        <w:t xml:space="preserve"> günü 11:00 -11:10 arası</w:t>
      </w:r>
    </w:p>
    <w:p w:rsidR="00024625" w:rsidRDefault="00890704">
      <w:pPr>
        <w:pStyle w:val="Gvdemetni0"/>
        <w:framePr w:w="2702" w:h="10099" w:hRule="exact" w:wrap="none" w:vAnchor="page" w:hAnchor="page" w:x="1583" w:y="988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 w:firstLine="140"/>
      </w:pPr>
      <w:r>
        <w:rPr>
          <w:rStyle w:val="GvdemetniKaln0ptbolukbraklyor"/>
        </w:rPr>
        <w:t xml:space="preserve">Satış Günü: </w:t>
      </w:r>
      <w:proofErr w:type="gramStart"/>
      <w:r>
        <w:t>08/04/2013</w:t>
      </w:r>
      <w:proofErr w:type="gramEnd"/>
      <w:r>
        <w:t xml:space="preserve"> günü 11:00 -11:10 arası</w:t>
      </w:r>
    </w:p>
    <w:p w:rsidR="00024625" w:rsidRDefault="00890704">
      <w:pPr>
        <w:pStyle w:val="Gvdemetni0"/>
        <w:framePr w:w="2702" w:h="10099" w:hRule="exact" w:wrap="none" w:vAnchor="page" w:hAnchor="page" w:x="1583" w:y="988"/>
        <w:shd w:val="clear" w:color="auto" w:fill="auto"/>
        <w:ind w:left="20" w:right="20" w:firstLine="140"/>
      </w:pPr>
      <w:r>
        <w:rPr>
          <w:rStyle w:val="GvdemetniKaln0ptbolukbraklyor"/>
        </w:rPr>
        <w:t xml:space="preserve">Satış Yeri: </w:t>
      </w:r>
      <w:r>
        <w:t>Çorlu 2. icra Müdürlüğü Çor</w:t>
      </w:r>
      <w:r>
        <w:softHyphen/>
        <w:t>lu Tekirdağ</w:t>
      </w:r>
    </w:p>
    <w:p w:rsidR="00024625" w:rsidRDefault="00890704">
      <w:pPr>
        <w:pStyle w:val="Gvdemetni20"/>
        <w:framePr w:w="2702" w:h="10099" w:hRule="exact" w:wrap="none" w:vAnchor="page" w:hAnchor="page" w:x="1583" w:y="988"/>
        <w:shd w:val="clear" w:color="auto" w:fill="auto"/>
        <w:ind w:left="20" w:firstLine="140"/>
      </w:pPr>
      <w:r>
        <w:t>Satış şartları:</w:t>
      </w:r>
    </w:p>
    <w:p w:rsidR="00024625" w:rsidRDefault="00890704">
      <w:pPr>
        <w:pStyle w:val="Gvdemetni0"/>
        <w:framePr w:w="2702" w:h="10099" w:hRule="exact" w:wrap="none" w:vAnchor="page" w:hAnchor="page" w:x="1583" w:y="988"/>
        <w:numPr>
          <w:ilvl w:val="0"/>
          <w:numId w:val="2"/>
        </w:numPr>
        <w:shd w:val="clear" w:color="auto" w:fill="auto"/>
        <w:tabs>
          <w:tab w:val="left" w:pos="361"/>
        </w:tabs>
        <w:ind w:left="20" w:right="20" w:firstLine="140"/>
      </w:pPr>
      <w:proofErr w:type="gramStart"/>
      <w:r>
        <w:t>ihale</w:t>
      </w:r>
      <w:proofErr w:type="gramEnd"/>
      <w:r>
        <w:t xml:space="preserve"> açık artırma suretiyle yapılacak</w:t>
      </w:r>
      <w:r>
        <w:softHyphen/>
        <w:t>tır, Birinci artırmanın yirmi gün öncesinden, artırma tarihinden önceki gün sonuna kadar elektronik ortamda teklif verilebilecektir. Bu artırmada tahmin edilen değerin % 50'sini ve rüçhanlı alacaklılar varsa alacakları topla</w:t>
      </w:r>
      <w:r>
        <w:softHyphen/>
        <w:t>mını ve satış giderlerini geçmek şartı ile ihale olunur. Birinci artırmada istekli bulunmadığı takdirde elektronik ortamda birinci artırma</w:t>
      </w:r>
      <w:r>
        <w:softHyphen/>
        <w:t>dan sonraki beşinci günden, ikinci artırma gününden önceki gün sonuna kadar elek</w:t>
      </w:r>
      <w:r>
        <w:softHyphen/>
        <w:t>tronik ortamda teklif verilebilecektir. Bu ar</w:t>
      </w:r>
      <w:r>
        <w:softHyphen/>
        <w:t>tırmada da rüçhanlı alacaklıların alacağını ve satış giderlerini geçmesi şartıyla en çok ar</w:t>
      </w:r>
      <w:r>
        <w:softHyphen/>
        <w:t>tırana ihale olunur. Böyle fazla bedelle alıcı çıkmazsa satış talebi düşecektir.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numPr>
          <w:ilvl w:val="0"/>
          <w:numId w:val="2"/>
        </w:numPr>
        <w:shd w:val="clear" w:color="auto" w:fill="auto"/>
        <w:tabs>
          <w:tab w:val="left" w:pos="380"/>
        </w:tabs>
        <w:spacing w:line="192" w:lineRule="exact"/>
        <w:ind w:left="20" w:right="20" w:firstLine="140"/>
      </w:pPr>
      <w:r>
        <w:t>Artırmaya iştirak edeceklerin, tahmin edilen değerin % 20’si oranında pey akçe</w:t>
      </w:r>
      <w:r>
        <w:softHyphen/>
        <w:t>si veya bu miktar kadar banka teminat mek</w:t>
      </w:r>
      <w:r>
        <w:softHyphen/>
        <w:t>tubu vermeleri lazımdır. Satışa fiziki ola</w:t>
      </w:r>
      <w:r>
        <w:softHyphen/>
        <w:t>rak katılıp nakit para yatıracakların müdür</w:t>
      </w:r>
      <w:r>
        <w:softHyphen/>
        <w:t xml:space="preserve">lüğümüzün Çorlu Vakıflar Bankası’ndaki TR090001500158007290495918 </w:t>
      </w:r>
      <w:proofErr w:type="spellStart"/>
      <w:r>
        <w:t>nolu</w:t>
      </w:r>
      <w:proofErr w:type="spellEnd"/>
      <w:r>
        <w:t xml:space="preserve"> he</w:t>
      </w:r>
      <w:r>
        <w:softHyphen/>
        <w:t xml:space="preserve">sabına teminat yatırıp banka </w:t>
      </w:r>
      <w:proofErr w:type="gramStart"/>
      <w:r>
        <w:t>dekontlarını</w:t>
      </w:r>
      <w:proofErr w:type="gramEnd"/>
      <w:r>
        <w:t xml:space="preserve"> sa</w:t>
      </w:r>
      <w:r>
        <w:softHyphen/>
        <w:t>tış saatinden önce dosyamıza sunmaları ge</w:t>
      </w:r>
      <w:r>
        <w:softHyphen/>
        <w:t xml:space="preserve">rekmektedir. Satış peşin para iledir, alıcı ıs- </w:t>
      </w:r>
      <w:proofErr w:type="spellStart"/>
      <w:r>
        <w:t>teğinde</w:t>
      </w:r>
      <w:proofErr w:type="spellEnd"/>
      <w:r>
        <w:t xml:space="preserve"> (10) günü geçmemek üzere süre ve</w:t>
      </w:r>
      <w:r>
        <w:softHyphen/>
        <w:t>rilebilir. Damga vergisi, KDV, 1/2 tapu har</w:t>
      </w:r>
      <w:r>
        <w:softHyphen/>
        <w:t xml:space="preserve">cı ile teslim masrafları alıcıya aittir. </w:t>
      </w:r>
      <w:proofErr w:type="gramStart"/>
      <w:r>
        <w:t>Tellali</w:t>
      </w:r>
      <w:r>
        <w:softHyphen/>
        <w:t>ye</w:t>
      </w:r>
      <w:proofErr w:type="gramEnd"/>
      <w:r>
        <w:t xml:space="preserve"> resmi, taşınmazın aynından doğan vergi</w:t>
      </w:r>
      <w:r>
        <w:softHyphen/>
        <w:t>ler ve 1/2 satış harcı satış bedelinden ödenir.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numPr>
          <w:ilvl w:val="0"/>
          <w:numId w:val="2"/>
        </w:numPr>
        <w:shd w:val="clear" w:color="auto" w:fill="auto"/>
        <w:tabs>
          <w:tab w:val="left" w:pos="370"/>
        </w:tabs>
        <w:spacing w:line="192" w:lineRule="exact"/>
        <w:ind w:left="20" w:right="20" w:firstLine="140"/>
      </w:pPr>
      <w:proofErr w:type="gramStart"/>
      <w:r>
        <w:t>ipotek</w:t>
      </w:r>
      <w:proofErr w:type="gramEnd"/>
      <w:r>
        <w:t xml:space="preserve"> sahibi alacaklılarla diğer ilgili</w:t>
      </w:r>
      <w:r>
        <w:softHyphen/>
        <w:t>lerin (*) bu gayrimenkul üzerindeki hakla</w:t>
      </w:r>
      <w:r>
        <w:softHyphen/>
        <w:t>rını özellikle faiz ve giderlere dair olan iddi</w:t>
      </w:r>
      <w:r>
        <w:softHyphen/>
        <w:t>alarını dayanağı belgeler ile (15) gün içinde dairemize bildirmeleri lazımdır; aksi takdir</w:t>
      </w:r>
      <w:r>
        <w:softHyphen/>
        <w:t>de hakları tapu sicil ile sabit olmadıkça pay</w:t>
      </w:r>
      <w:r>
        <w:softHyphen/>
        <w:t>laşmadan hariç bırakılacaktır.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numPr>
          <w:ilvl w:val="0"/>
          <w:numId w:val="2"/>
        </w:numPr>
        <w:shd w:val="clear" w:color="auto" w:fill="auto"/>
        <w:tabs>
          <w:tab w:val="left" w:pos="356"/>
        </w:tabs>
        <w:spacing w:line="192" w:lineRule="exact"/>
        <w:ind w:left="20" w:right="20" w:firstLine="140"/>
      </w:pPr>
      <w:r>
        <w:t>Satış bedeli hemen veya verilen mühlet içinde ödenmezse icra ve İflas Kanunu’nun 133’üncü maddesi gereğince ihale feshe</w:t>
      </w:r>
      <w:r>
        <w:softHyphen/>
        <w:t xml:space="preserve">dilir. </w:t>
      </w:r>
      <w:proofErr w:type="gramStart"/>
      <w:r>
        <w:t>ihaleye</w:t>
      </w:r>
      <w:proofErr w:type="gramEnd"/>
      <w:r>
        <w:t xml:space="preserve"> katılıp daha sonra ihale bedeli</w:t>
      </w:r>
      <w:r>
        <w:softHyphen/>
        <w:t>ni yatırmamak sureti ile ihalenin feshine se</w:t>
      </w:r>
      <w:r>
        <w:softHyphen/>
        <w:t>bep olan tüm alıcılar ve kefilleri teklif ettikleri bedel ile son ihale bedeli arasındaki farktan ve diğer zararlardan ve ayrıca temerrüt fai</w:t>
      </w:r>
      <w:r>
        <w:softHyphen/>
        <w:t xml:space="preserve">zinden </w:t>
      </w:r>
      <w:proofErr w:type="spellStart"/>
      <w:r>
        <w:t>müteselsilen</w:t>
      </w:r>
      <w:proofErr w:type="spellEnd"/>
      <w:r>
        <w:t xml:space="preserve"> mesul olacaklardır, iha</w:t>
      </w:r>
      <w:r>
        <w:softHyphen/>
        <w:t>le farkı ve temerrüt faizi ayrıca hükme ha</w:t>
      </w:r>
      <w:r>
        <w:softHyphen/>
        <w:t>cet kalmaksızın dairemizce tahsil olunacak, bu fark, varsa öncelikle teminat bedelinden alınacaktır.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numPr>
          <w:ilvl w:val="0"/>
          <w:numId w:val="2"/>
        </w:numPr>
        <w:shd w:val="clear" w:color="auto" w:fill="auto"/>
        <w:tabs>
          <w:tab w:val="left" w:pos="346"/>
        </w:tabs>
        <w:spacing w:line="192" w:lineRule="exact"/>
        <w:ind w:left="20" w:right="20" w:firstLine="140"/>
      </w:pPr>
      <w:r>
        <w:t>Şartname, ilan tarihinden itibaren her</w:t>
      </w:r>
      <w:r>
        <w:softHyphen/>
        <w:t>kesin görebilmesi için dairede açık olup gi</w:t>
      </w:r>
      <w:r>
        <w:softHyphen/>
        <w:t>deri verildiği takdirde isteyen alıcıya bir örne</w:t>
      </w:r>
      <w:r>
        <w:softHyphen/>
        <w:t>ği gönderilebilir.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numPr>
          <w:ilvl w:val="0"/>
          <w:numId w:val="2"/>
        </w:numPr>
        <w:shd w:val="clear" w:color="auto" w:fill="auto"/>
        <w:tabs>
          <w:tab w:val="left" w:pos="414"/>
        </w:tabs>
        <w:spacing w:line="192" w:lineRule="exact"/>
        <w:ind w:left="20" w:right="20" w:firstLine="140"/>
      </w:pPr>
      <w:r>
        <w:t>Satışa iştirak edenlerin şartnameyi görmüş ve münderecatını kabul etmiş sa</w:t>
      </w:r>
      <w:r>
        <w:softHyphen/>
        <w:t>yılacakları, başkaca bilgi almak isteyenle</w:t>
      </w:r>
      <w:r>
        <w:softHyphen/>
        <w:t xml:space="preserve">rin 2012/442 </w:t>
      </w:r>
      <w:proofErr w:type="spellStart"/>
      <w:r>
        <w:t>Tlmt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</w:t>
      </w:r>
      <w:r>
        <w:softHyphen/>
        <w:t>la müdürlüğümüze başvurmaları ilan olunur.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shd w:val="clear" w:color="auto" w:fill="auto"/>
        <w:spacing w:line="192" w:lineRule="exact"/>
        <w:ind w:left="20" w:firstLine="140"/>
      </w:pPr>
      <w:proofErr w:type="gramStart"/>
      <w:r>
        <w:t>(</w:t>
      </w:r>
      <w:proofErr w:type="spellStart"/>
      <w:proofErr w:type="gramEnd"/>
      <w:r>
        <w:t>İİKm</w:t>
      </w:r>
      <w:proofErr w:type="spellEnd"/>
      <w:r>
        <w:t>. 126)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shd w:val="clear" w:color="auto" w:fill="auto"/>
        <w:spacing w:line="192" w:lineRule="exact"/>
        <w:ind w:left="20" w:right="20" w:firstLine="140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024625" w:rsidRDefault="00890704">
      <w:pPr>
        <w:pStyle w:val="Gvdemetni0"/>
        <w:framePr w:w="2717" w:h="10089" w:hRule="exact" w:wrap="none" w:vAnchor="page" w:hAnchor="page" w:x="4511" w:y="1000"/>
        <w:shd w:val="clear" w:color="auto" w:fill="auto"/>
        <w:spacing w:line="192" w:lineRule="exact"/>
        <w:ind w:left="20" w:right="20" w:firstLine="140"/>
      </w:pPr>
      <w:r>
        <w:t>*: Bu örnek, bu yönetmelikten önceki uy</w:t>
      </w:r>
      <w:r>
        <w:softHyphen/>
        <w:t>gulamada kullanılan Örnek 64'e karşılık gel</w:t>
      </w:r>
      <w:r>
        <w:softHyphen/>
        <w:t>mektedir.</w:t>
      </w:r>
    </w:p>
    <w:p w:rsidR="00024625" w:rsidRDefault="00271FAB">
      <w:pPr>
        <w:pStyle w:val="Gvdemetni20"/>
        <w:framePr w:w="2717" w:h="10089" w:hRule="exact" w:wrap="none" w:vAnchor="page" w:hAnchor="page" w:x="4511" w:y="1000"/>
        <w:shd w:val="clear" w:color="auto" w:fill="auto"/>
        <w:spacing w:line="192" w:lineRule="exact"/>
        <w:ind w:right="20"/>
        <w:jc w:val="right"/>
      </w:pPr>
      <w:hyperlink r:id="rId7" w:history="1">
        <w:r w:rsidR="00890704">
          <w:rPr>
            <w:rStyle w:val="Kpr"/>
            <w:lang w:val="en-US"/>
          </w:rPr>
          <w:t>w</w:t>
        </w:r>
        <w:proofErr w:type="spellStart"/>
        <w:r w:rsidR="00890704">
          <w:rPr>
            <w:rStyle w:val="Kpr"/>
          </w:rPr>
          <w:t>ww</w:t>
        </w:r>
        <w:proofErr w:type="spellEnd"/>
        <w:r w:rsidR="00890704">
          <w:rPr>
            <w:rStyle w:val="Kpr"/>
            <w:lang w:val="en-US"/>
          </w:rPr>
          <w:t>.</w:t>
        </w:r>
        <w:r w:rsidR="00890704">
          <w:rPr>
            <w:rStyle w:val="Kpr"/>
          </w:rPr>
          <w:t>b</w:t>
        </w:r>
        <w:proofErr w:type="spellStart"/>
        <w:r w:rsidR="00890704">
          <w:rPr>
            <w:rStyle w:val="Kpr"/>
            <w:lang w:val="en-US"/>
          </w:rPr>
          <w:t>i</w:t>
        </w:r>
        <w:proofErr w:type="spellEnd"/>
        <w:r w:rsidR="00890704">
          <w:rPr>
            <w:rStyle w:val="Kpr"/>
          </w:rPr>
          <w:t>k</w:t>
        </w:r>
        <w:r w:rsidR="00890704">
          <w:rPr>
            <w:rStyle w:val="Kpr"/>
            <w:lang w:val="en-US"/>
          </w:rPr>
          <w:t>.</w:t>
        </w:r>
        <w:proofErr w:type="spellStart"/>
        <w:r w:rsidR="00890704">
          <w:rPr>
            <w:rStyle w:val="Kpr"/>
          </w:rPr>
          <w:t>qov</w:t>
        </w:r>
        <w:proofErr w:type="spellEnd"/>
        <w:r w:rsidR="00890704">
          <w:rPr>
            <w:rStyle w:val="Kpr"/>
            <w:lang w:val="en-US"/>
          </w:rPr>
          <w:t>.</w:t>
        </w:r>
        <w:r w:rsidR="00890704">
          <w:rPr>
            <w:rStyle w:val="Kpr"/>
          </w:rPr>
          <w:t>tr</w:t>
        </w:r>
      </w:hyperlink>
      <w:r w:rsidR="00890704">
        <w:rPr>
          <w:lang w:val="en-US"/>
        </w:rPr>
        <w:t xml:space="preserve"> </w:t>
      </w:r>
      <w:r w:rsidR="00890704">
        <w:t>B: 5789</w:t>
      </w:r>
    </w:p>
    <w:p w:rsidR="00024625" w:rsidRDefault="00024625">
      <w:pPr>
        <w:rPr>
          <w:sz w:val="2"/>
          <w:szCs w:val="2"/>
        </w:rPr>
      </w:pPr>
    </w:p>
    <w:sectPr w:rsidR="00024625" w:rsidSect="0002462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21" w:rsidRDefault="000A4121" w:rsidP="00024625">
      <w:r>
        <w:separator/>
      </w:r>
    </w:p>
  </w:endnote>
  <w:endnote w:type="continuationSeparator" w:id="0">
    <w:p w:rsidR="000A4121" w:rsidRDefault="000A4121" w:rsidP="0002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21" w:rsidRDefault="000A4121"/>
  </w:footnote>
  <w:footnote w:type="continuationSeparator" w:id="0">
    <w:p w:rsidR="000A4121" w:rsidRDefault="000A4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743"/>
    <w:multiLevelType w:val="multilevel"/>
    <w:tmpl w:val="AAB0C93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C469D"/>
    <w:multiLevelType w:val="multilevel"/>
    <w:tmpl w:val="22B28AC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4625"/>
    <w:rsid w:val="00024625"/>
    <w:rsid w:val="000A4121"/>
    <w:rsid w:val="00271FAB"/>
    <w:rsid w:val="00890704"/>
    <w:rsid w:val="00BD41FA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6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4625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0246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Gvdemetni4">
    <w:name w:val="Gövde metni (4)_"/>
    <w:basedOn w:val="VarsaylanParagrafYazTipi"/>
    <w:link w:val="Gvdemetni40"/>
    <w:rsid w:val="00024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Gvdemetni5">
    <w:name w:val="Gövde metni (5)_"/>
    <w:basedOn w:val="VarsaylanParagrafYazTipi"/>
    <w:link w:val="Gvdemetni50"/>
    <w:rsid w:val="000246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1"/>
      <w:sz w:val="16"/>
      <w:szCs w:val="16"/>
      <w:u w:val="none"/>
    </w:rPr>
  </w:style>
  <w:style w:type="character" w:customStyle="1" w:styleId="Gvdemetni5TrebuchetMS7ptKalnDeil-1ptbolukbraklyor">
    <w:name w:val="Gövde metni (5) + Trebuchet MS;7 pt;Kalın Değil;-1 pt boşluk bırakılıyor"/>
    <w:basedOn w:val="Gvdemetni5"/>
    <w:rsid w:val="00024625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14"/>
      <w:szCs w:val="14"/>
      <w:lang w:val="tr-TR"/>
    </w:rPr>
  </w:style>
  <w:style w:type="character" w:customStyle="1" w:styleId="Gvdemetni5CorbelKalnDeiltalik0ptbolukbraklyor">
    <w:name w:val="Gövde metni (5) + Corbel;Kalın Değil;İtalik;0 pt boşluk bırakılıyor"/>
    <w:basedOn w:val="Gvdemetni5"/>
    <w:rsid w:val="00024625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0246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5KkBykHarf">
    <w:name w:val="Gövde metni (5) + Küçük Büyük Harf"/>
    <w:basedOn w:val="Gvdemetni5"/>
    <w:rsid w:val="00024625"/>
    <w:rPr>
      <w:smallCaps/>
      <w:color w:val="000000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024625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Gvdemetni7">
    <w:name w:val="Gövde metni (7)_"/>
    <w:basedOn w:val="VarsaylanParagrafYazTipi"/>
    <w:link w:val="Gvdemetni70"/>
    <w:rsid w:val="00024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024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8">
    <w:name w:val="Gövde metni (8)_"/>
    <w:basedOn w:val="VarsaylanParagrafYazTipi"/>
    <w:link w:val="Gvdemetni80"/>
    <w:rsid w:val="0002462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024625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024625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024625"/>
    <w:rPr>
      <w:color w:val="000000"/>
      <w:w w:val="100"/>
      <w:position w:val="0"/>
      <w:u w:val="single"/>
      <w:lang w:val="en-US"/>
    </w:rPr>
  </w:style>
  <w:style w:type="paragraph" w:customStyle="1" w:styleId="Gvdemetni30">
    <w:name w:val="Gövde metni (3)"/>
    <w:basedOn w:val="Normal"/>
    <w:link w:val="Gvdemetni3"/>
    <w:rsid w:val="00024625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z w:val="59"/>
      <w:szCs w:val="59"/>
    </w:rPr>
  </w:style>
  <w:style w:type="paragraph" w:customStyle="1" w:styleId="Gvdemetni40">
    <w:name w:val="Gövde metni (4)"/>
    <w:basedOn w:val="Normal"/>
    <w:link w:val="Gvdemetni4"/>
    <w:rsid w:val="00024625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z w:val="57"/>
      <w:szCs w:val="57"/>
    </w:rPr>
  </w:style>
  <w:style w:type="paragraph" w:customStyle="1" w:styleId="Gvdemetni50">
    <w:name w:val="Gövde metni (5)"/>
    <w:basedOn w:val="Normal"/>
    <w:link w:val="Gvdemetni5"/>
    <w:rsid w:val="00024625"/>
    <w:pPr>
      <w:shd w:val="clear" w:color="auto" w:fill="FFFFFF"/>
      <w:spacing w:line="163" w:lineRule="exact"/>
      <w:jc w:val="both"/>
    </w:pPr>
    <w:rPr>
      <w:rFonts w:ascii="Arial Narrow" w:eastAsia="Arial Narrow" w:hAnsi="Arial Narrow" w:cs="Arial Narrow"/>
      <w:b/>
      <w:bCs/>
      <w:spacing w:val="-11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024625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b/>
      <w:bCs/>
      <w:spacing w:val="-1"/>
      <w:sz w:val="15"/>
      <w:szCs w:val="15"/>
    </w:rPr>
  </w:style>
  <w:style w:type="paragraph" w:customStyle="1" w:styleId="Gvdemetni60">
    <w:name w:val="Gövde metni (6)"/>
    <w:basedOn w:val="Normal"/>
    <w:link w:val="Gvdemetni6"/>
    <w:rsid w:val="00024625"/>
    <w:pPr>
      <w:shd w:val="clear" w:color="auto" w:fill="FFFFFF"/>
      <w:spacing w:line="163" w:lineRule="exact"/>
      <w:jc w:val="both"/>
    </w:pPr>
    <w:rPr>
      <w:rFonts w:ascii="Comic Sans MS" w:eastAsia="Comic Sans MS" w:hAnsi="Comic Sans MS" w:cs="Comic Sans MS"/>
      <w:spacing w:val="-5"/>
      <w:sz w:val="12"/>
      <w:szCs w:val="12"/>
    </w:rPr>
  </w:style>
  <w:style w:type="paragraph" w:customStyle="1" w:styleId="Gvdemetni70">
    <w:name w:val="Gövde metni (7)"/>
    <w:basedOn w:val="Normal"/>
    <w:link w:val="Gvdemetni7"/>
    <w:rsid w:val="00024625"/>
    <w:pPr>
      <w:shd w:val="clear" w:color="auto" w:fill="FFFFFF"/>
      <w:spacing w:line="163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Gvdemetni0">
    <w:name w:val="Gövde metni"/>
    <w:basedOn w:val="Normal"/>
    <w:link w:val="Gvdemetni"/>
    <w:rsid w:val="00024625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spacing w:val="-2"/>
      <w:sz w:val="15"/>
      <w:szCs w:val="15"/>
    </w:rPr>
  </w:style>
  <w:style w:type="paragraph" w:customStyle="1" w:styleId="Gvdemetni80">
    <w:name w:val="Gövde metni (8)"/>
    <w:basedOn w:val="Normal"/>
    <w:link w:val="Gvdemetni8"/>
    <w:rsid w:val="0002462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2013-02-02T07:41:00Z</dcterms:created>
  <dcterms:modified xsi:type="dcterms:W3CDTF">2013-02-02T07:51:00Z</dcterms:modified>
</cp:coreProperties>
</file>