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F0" w:rsidRDefault="00282766">
      <w:pPr>
        <w:pStyle w:val="Balk10"/>
        <w:framePr w:w="6557" w:h="11491" w:hRule="exact" w:wrap="none" w:vAnchor="page" w:hAnchor="page" w:x="2735" w:y="2660"/>
        <w:shd w:val="clear" w:color="auto" w:fill="auto"/>
        <w:ind w:left="140"/>
      </w:pPr>
      <w:bookmarkStart w:id="0" w:name="bookmark0"/>
      <w:r>
        <w:t>ANTALYA 4. (SULH HUKUK MAH.) SATIŞ MEMURLUĞUNDAN TAŞINMAZIN AÇIK ARTIRMA İLANI VE İLANEN TEBLİĞ</w:t>
      </w:r>
      <w:bookmarkEnd w:id="0"/>
    </w:p>
    <w:p w:rsidR="004C60F0" w:rsidRDefault="00282766">
      <w:pPr>
        <w:pStyle w:val="Gvdemetni20"/>
        <w:framePr w:w="6557" w:h="11491" w:hRule="exact" w:wrap="none" w:vAnchor="page" w:hAnchor="page" w:x="2735" w:y="2660"/>
        <w:shd w:val="clear" w:color="auto" w:fill="auto"/>
        <w:ind w:left="140"/>
      </w:pPr>
      <w:r>
        <w:t>2011/11 Satış</w:t>
      </w:r>
    </w:p>
    <w:p w:rsidR="004C60F0" w:rsidRDefault="00282766">
      <w:pPr>
        <w:pStyle w:val="Gvdemetni20"/>
        <w:framePr w:w="6557" w:h="11491" w:hRule="exact" w:wrap="none" w:vAnchor="page" w:hAnchor="page" w:x="2735" w:y="2660"/>
        <w:shd w:val="clear" w:color="auto" w:fill="auto"/>
        <w:ind w:left="140"/>
      </w:pPr>
      <w:r>
        <w:t>Taşınmazın;</w:t>
      </w:r>
    </w:p>
    <w:p w:rsidR="004C60F0" w:rsidRDefault="00282766">
      <w:pPr>
        <w:pStyle w:val="Gvdemetni0"/>
        <w:framePr w:w="6557" w:h="11491" w:hRule="exact" w:wrap="none" w:vAnchor="page" w:hAnchor="page" w:x="2735" w:y="2660"/>
        <w:shd w:val="clear" w:color="auto" w:fill="auto"/>
        <w:ind w:left="140" w:right="280"/>
      </w:pPr>
      <w:r>
        <w:rPr>
          <w:rStyle w:val="GvdemetniKaln0ptbolukbraklyor"/>
        </w:rPr>
        <w:t xml:space="preserve">Tapu Kaydı: </w:t>
      </w:r>
      <w:r>
        <w:t xml:space="preserve">ANTALYA ili, MURATPAŞA ilçesi, KİZILTOPRAK mahallesi, 12811 ada, 3 parsel, 1.139,00 m2, ana taşınmaz niteliği arsa olan </w:t>
      </w:r>
      <w:r>
        <w:t>taşınmaz Antalya 4. Sulh Hukuk Mahkemesinin 19/10/2012 tarih ve 2009/2039 E - 2010/1308 K sayılı karan gereğince AÇIK ARTTIRMA İLE SATI</w:t>
      </w:r>
      <w:r>
        <w:softHyphen/>
        <w:t>LACAKTIR.</w:t>
      </w:r>
    </w:p>
    <w:p w:rsidR="004C60F0" w:rsidRDefault="00282766">
      <w:pPr>
        <w:pStyle w:val="Gvdemetni0"/>
        <w:framePr w:w="6557" w:h="11491" w:hRule="exact" w:wrap="none" w:vAnchor="page" w:hAnchor="page" w:x="2735" w:y="2660"/>
        <w:shd w:val="clear" w:color="auto" w:fill="auto"/>
        <w:ind w:left="140"/>
      </w:pPr>
      <w:r>
        <w:rPr>
          <w:rStyle w:val="GvdemetniKaln0ptbolukbraklyor0"/>
        </w:rPr>
        <w:t xml:space="preserve">Özellikleri: </w:t>
      </w:r>
      <w:r>
        <w:t>Satışa konu taşınmaz tapu kaydında 1.139,00 m2 miktarlı arsa olarak kayıtlıdır.</w:t>
      </w:r>
    </w:p>
    <w:p w:rsidR="004C60F0" w:rsidRDefault="00282766">
      <w:pPr>
        <w:pStyle w:val="Gvdemetni0"/>
        <w:framePr w:w="6557" w:h="11491" w:hRule="exact" w:wrap="none" w:vAnchor="page" w:hAnchor="page" w:x="2735" w:y="2660"/>
        <w:shd w:val="clear" w:color="auto" w:fill="auto"/>
        <w:ind w:left="140" w:right="280"/>
      </w:pPr>
      <w:r>
        <w:t>Parselin üzerinde</w:t>
      </w:r>
      <w:r>
        <w:t xml:space="preserve"> inşai muhtesat bulunmamaktadır. Parsel sınırlan dahilinde 95,78 m2 alanlı plastik örtülü basit sera ile parsel güneyinde (1222 sok) olarak adlandırılan, açılmayan (komşu parselde bu</w:t>
      </w:r>
      <w:r>
        <w:softHyphen/>
        <w:t>lunan yapının yolu olarak kullanılmakta) yolun yer aldığı tespit edilmişt</w:t>
      </w:r>
      <w:r>
        <w:t>ir. Parsel 30 m2’lik Termessos Bulvarı batı yönden cepheli olup, Perge Bulvarı-Aspendos Bulvan-Termessos Bulvan kavşağının yaklaşık 500 m kuzeyindedir. Etrafında kapalı pazar, açık ve kapalı spor sahası, park, Aspendos Bulvarı üzerinde alışveriş merkezleri</w:t>
      </w:r>
      <w:r>
        <w:t xml:space="preserve"> vardır. Taşınmazın çevresinde eski/yeni yapılan ve yapımı de</w:t>
      </w:r>
      <w:r>
        <w:softHyphen/>
        <w:t>vam eden site tarzında havuzlu lüks konutlar, iş merkezleri vardır. Talebin yoğunlaştığı bölgede yer almaktadır. Tüm altyapı ve belediye hizmetlerinden yararlanmaktadır, ulaşımı kolaydır.</w:t>
      </w:r>
    </w:p>
    <w:p w:rsidR="004C60F0" w:rsidRDefault="00282766">
      <w:pPr>
        <w:pStyle w:val="Gvdemetni0"/>
        <w:framePr w:w="6557" w:h="11491" w:hRule="exact" w:wrap="none" w:vAnchor="page" w:hAnchor="page" w:x="2735" w:y="2660"/>
        <w:shd w:val="clear" w:color="auto" w:fill="auto"/>
        <w:ind w:left="140" w:right="280"/>
      </w:pPr>
      <w:r>
        <w:rPr>
          <w:rStyle w:val="GvdemetniKaln0ptbolukbraklyor"/>
        </w:rPr>
        <w:t>İmar D</w:t>
      </w:r>
      <w:r>
        <w:rPr>
          <w:rStyle w:val="GvdemetniKaln0ptbolukbraklyor"/>
        </w:rPr>
        <w:t xml:space="preserve">urumu: </w:t>
      </w:r>
      <w:r>
        <w:t>Antalya Muratpaşa Belediyesi Plan ve Proje Müdürlüğünün 30/05/2011 tarih ve 2606 sayılı yazısına göre; 1/1000 ölçekli imar çapına göre, parsel aynk nizam, 4 kata müsaadeli, 0,20/0,80 emsalli, yol ve komşu mesafesi; 5,00 mt, inşaat cephesi; 26,08 mt,</w:t>
      </w:r>
      <w:r>
        <w:t xml:space="preserve"> saçak seviyesi: 14,50 mt'dir. Ada ölçeğinde kat sınırlaması vardır. Antalya Büyükşehir Belediyesi imar hükümlerinin geçer- lidir.</w:t>
      </w:r>
    </w:p>
    <w:p w:rsidR="004C60F0" w:rsidRDefault="00282766">
      <w:pPr>
        <w:pStyle w:val="Gvdemetni20"/>
        <w:framePr w:w="6557" w:h="11491" w:hRule="exact" w:wrap="none" w:vAnchor="page" w:hAnchor="page" w:x="2735" w:y="2660"/>
        <w:shd w:val="clear" w:color="auto" w:fill="auto"/>
        <w:tabs>
          <w:tab w:val="left" w:pos="1657"/>
        </w:tabs>
        <w:ind w:left="140"/>
      </w:pPr>
      <w:r>
        <w:t>1.Satış Günü</w:t>
      </w:r>
      <w:r>
        <w:tab/>
      </w:r>
      <w:r>
        <w:rPr>
          <w:rStyle w:val="Gvdemetni2KalnDeil0ptbolukbraklyor"/>
        </w:rPr>
        <w:t>: 17/12/2012</w:t>
      </w:r>
    </w:p>
    <w:p w:rsidR="004C60F0" w:rsidRDefault="00282766">
      <w:pPr>
        <w:pStyle w:val="Gvdemetni20"/>
        <w:framePr w:w="6557" w:h="11491" w:hRule="exact" w:wrap="none" w:vAnchor="page" w:hAnchor="page" w:x="2735" w:y="2660"/>
        <w:shd w:val="clear" w:color="auto" w:fill="auto"/>
        <w:tabs>
          <w:tab w:val="left" w:pos="1662"/>
        </w:tabs>
        <w:ind w:left="140"/>
      </w:pPr>
      <w:r>
        <w:t>2.Satış Günü</w:t>
      </w:r>
      <w:r>
        <w:tab/>
      </w:r>
      <w:r>
        <w:rPr>
          <w:rStyle w:val="Gvdemetni2KalnDeil0ptbolukbraklyor"/>
        </w:rPr>
        <w:t>: 27/12/2012</w:t>
      </w:r>
    </w:p>
    <w:p w:rsidR="004C60F0" w:rsidRDefault="00282766">
      <w:pPr>
        <w:pStyle w:val="Gvdemetni0"/>
        <w:framePr w:w="6557" w:h="11491" w:hRule="exact" w:wrap="none" w:vAnchor="page" w:hAnchor="page" w:x="2735" w:y="2660"/>
        <w:shd w:val="clear" w:color="auto" w:fill="auto"/>
        <w:tabs>
          <w:tab w:val="left" w:pos="1657"/>
        </w:tabs>
        <w:ind w:left="140"/>
      </w:pPr>
      <w:r>
        <w:rPr>
          <w:rStyle w:val="GvdemetniKaln0ptbolukbraklyor"/>
        </w:rPr>
        <w:t>Satış Saati</w:t>
      </w:r>
      <w:r>
        <w:rPr>
          <w:rStyle w:val="GvdemetniKaln0ptbolukbraklyor"/>
        </w:rPr>
        <w:tab/>
      </w:r>
      <w:r>
        <w:t>: 15:00-15:10 - Arası</w:t>
      </w:r>
    </w:p>
    <w:p w:rsidR="004C60F0" w:rsidRDefault="00282766">
      <w:pPr>
        <w:pStyle w:val="Gvdemetni0"/>
        <w:framePr w:w="6557" w:h="11491" w:hRule="exact" w:wrap="none" w:vAnchor="page" w:hAnchor="page" w:x="2735" w:y="2660"/>
        <w:shd w:val="clear" w:color="auto" w:fill="auto"/>
        <w:tabs>
          <w:tab w:val="left" w:pos="1662"/>
        </w:tabs>
        <w:ind w:left="140"/>
      </w:pPr>
      <w:r>
        <w:rPr>
          <w:rStyle w:val="GvdemetniKaln0ptbolukbraklyor"/>
        </w:rPr>
        <w:t xml:space="preserve">Satış </w:t>
      </w:r>
      <w:r>
        <w:rPr>
          <w:rStyle w:val="GvdemetniKaln0ptbolukbraklyor0"/>
        </w:rPr>
        <w:t>Yeri</w:t>
      </w:r>
      <w:r>
        <w:rPr>
          <w:rStyle w:val="GvdemetniKaln0ptbolukbraklyor0"/>
        </w:rPr>
        <w:tab/>
      </w:r>
      <w:r>
        <w:t xml:space="preserve">: Antalya Adliyesi Ceza </w:t>
      </w:r>
      <w:r>
        <w:t>Bloku 5. Kat 4. Sulh Hukuk Mahkemesi</w:t>
      </w:r>
    </w:p>
    <w:p w:rsidR="004C60F0" w:rsidRDefault="00282766">
      <w:pPr>
        <w:pStyle w:val="Gvdemetni0"/>
        <w:framePr w:w="6557" w:h="11491" w:hRule="exact" w:wrap="none" w:vAnchor="page" w:hAnchor="page" w:x="2735" w:y="2660"/>
        <w:shd w:val="clear" w:color="auto" w:fill="auto"/>
        <w:ind w:left="1820"/>
        <w:jc w:val="left"/>
      </w:pPr>
      <w:r>
        <w:t>Duruşma Salonu</w:t>
      </w:r>
    </w:p>
    <w:p w:rsidR="004C60F0" w:rsidRDefault="00282766">
      <w:pPr>
        <w:pStyle w:val="Gvdemetni0"/>
        <w:framePr w:w="6557" w:h="11491" w:hRule="exact" w:wrap="none" w:vAnchor="page" w:hAnchor="page" w:x="2735" w:y="2660"/>
        <w:shd w:val="clear" w:color="auto" w:fill="auto"/>
        <w:ind w:left="140"/>
      </w:pPr>
      <w:r>
        <w:rPr>
          <w:rStyle w:val="GvdemetniKaln0ptbolukbraklyor0"/>
        </w:rPr>
        <w:t xml:space="preserve">Muhammen Bedel </w:t>
      </w:r>
      <w:r>
        <w:t>: 911.200,00 TL'dir.</w:t>
      </w:r>
    </w:p>
    <w:p w:rsidR="004C60F0" w:rsidRDefault="00282766">
      <w:pPr>
        <w:pStyle w:val="Gvdemetni20"/>
        <w:framePr w:w="6557" w:h="11491" w:hRule="exact" w:wrap="none" w:vAnchor="page" w:hAnchor="page" w:x="2735" w:y="2660"/>
        <w:shd w:val="clear" w:color="auto" w:fill="auto"/>
        <w:ind w:left="140"/>
      </w:pPr>
      <w:r>
        <w:t>Satış Şartlan:</w:t>
      </w:r>
    </w:p>
    <w:p w:rsidR="004C60F0" w:rsidRDefault="00282766">
      <w:pPr>
        <w:pStyle w:val="Gvdemetni0"/>
        <w:framePr w:w="6557" w:h="11491" w:hRule="exact" w:wrap="none" w:vAnchor="page" w:hAnchor="page" w:x="2735" w:y="2660"/>
        <w:numPr>
          <w:ilvl w:val="0"/>
          <w:numId w:val="1"/>
        </w:numPr>
        <w:shd w:val="clear" w:color="auto" w:fill="auto"/>
        <w:tabs>
          <w:tab w:val="left" w:pos="428"/>
        </w:tabs>
        <w:ind w:left="140" w:right="280"/>
      </w:pPr>
      <w:r>
        <w:t>Satış, yukarıda belirtilen birinci satış gününde, satış saatleri arasında satış yerinde açık artırma suretiyle yapılacaktır. Bu artırmada tahmin edilen d</w:t>
      </w:r>
      <w:r>
        <w:t>eğerin yüzde 60'ını ve rüçhanlı alacaklılar varsa alacaklan toplamını ve satış ve paylaştırma giderlerini geçmek şartı ile ihale olunur. Böyle bir bedele alıcı çıkmazsa en çok artıranın taahhüdü saklı kalmak şartıyla yukanda belirtilen ikinci satış gününde</w:t>
      </w:r>
      <w:r>
        <w:t xml:space="preserve"> aynı yer ve saatler arasında ikinci artırmaya çıkanlacaktır. Bu artırmada da rüçhanlı alacaklılann ala</w:t>
      </w:r>
      <w:r>
        <w:softHyphen/>
        <w:t xml:space="preserve">caklan toplamını, satış ve paylaştırma giderlerini geçmesi ve artırma bedelinin malın tahmin edilen kıymetinin yüzde 40'ını bulması lazımdır. Böyle bir </w:t>
      </w:r>
      <w:r>
        <w:t>bedelle alıcı çıkmazsa satış talebi düşecektir.</w:t>
      </w:r>
    </w:p>
    <w:p w:rsidR="004C60F0" w:rsidRDefault="00282766">
      <w:pPr>
        <w:pStyle w:val="Gvdemetni0"/>
        <w:framePr w:w="6557" w:h="11491" w:hRule="exact" w:wrap="none" w:vAnchor="page" w:hAnchor="page" w:x="2735" w:y="2660"/>
        <w:numPr>
          <w:ilvl w:val="0"/>
          <w:numId w:val="1"/>
        </w:numPr>
        <w:shd w:val="clear" w:color="auto" w:fill="auto"/>
        <w:tabs>
          <w:tab w:val="left" w:pos="438"/>
        </w:tabs>
        <w:ind w:left="140" w:right="280"/>
      </w:pPr>
      <w:r>
        <w:t xml:space="preserve">Artırmaya iştirak edeceklerin, tahmin edilen kıymetin yüzde 20'si nispetinde 182.240,00 Türk Lirası peşin para veya bu miktar kadar milli bir bankanın teminat mektubunu vermeleri lazımdır. Taşınmaz üzerinde </w:t>
      </w:r>
      <w:r>
        <w:t>hakkı olan ilgiliden arttırmaya iştiraki halinde alacağı mezkur nispet raddesinde ise aynca pey akçesi ve teminat aranmaz. Döviz kabul edilmeyecektir. Satış peşin para iledir. Alıcıya istediğinde 10 günü geçmemek üzere mehil verilebilir. Tapu alım harcı, d</w:t>
      </w:r>
      <w:r>
        <w:t>amga vergisi, tahliye ve tes</w:t>
      </w:r>
      <w:r>
        <w:softHyphen/>
        <w:t>lim masrafları ile K.D.V. alıcıya aittir. Birikmiş vergiler satış bedelinden ödenir.</w:t>
      </w:r>
    </w:p>
    <w:p w:rsidR="004C60F0" w:rsidRDefault="00282766">
      <w:pPr>
        <w:pStyle w:val="Gvdemetni0"/>
        <w:framePr w:w="6557" w:h="11491" w:hRule="exact" w:wrap="none" w:vAnchor="page" w:hAnchor="page" w:x="2735" w:y="2660"/>
        <w:numPr>
          <w:ilvl w:val="0"/>
          <w:numId w:val="1"/>
        </w:numPr>
        <w:shd w:val="clear" w:color="auto" w:fill="auto"/>
        <w:tabs>
          <w:tab w:val="left" w:pos="438"/>
        </w:tabs>
        <w:ind w:left="140" w:right="280"/>
      </w:pPr>
      <w:r>
        <w:t>İpotek sahibi alacaklılarla diğer ilgililerin (*) bu taşınmaz üzerindeki haklannı hususiyle faiz ve masrafa dair olan iddialarını dayanağı bel</w:t>
      </w:r>
      <w:r>
        <w:t>geler ile on beş gün içinde memurluğumuza bildirmeleri lazımdır. Aksi takdirde haklan tapu sicili ile sabit olmadıkça paylaştırmadan hariç bırakılacaktır.</w:t>
      </w:r>
    </w:p>
    <w:p w:rsidR="004C60F0" w:rsidRDefault="00282766">
      <w:pPr>
        <w:pStyle w:val="Gvdemetni0"/>
        <w:framePr w:w="6557" w:h="11491" w:hRule="exact" w:wrap="none" w:vAnchor="page" w:hAnchor="page" w:x="2735" w:y="2660"/>
        <w:numPr>
          <w:ilvl w:val="0"/>
          <w:numId w:val="1"/>
        </w:numPr>
        <w:shd w:val="clear" w:color="auto" w:fill="auto"/>
        <w:tabs>
          <w:tab w:val="left" w:pos="428"/>
        </w:tabs>
        <w:ind w:left="140" w:right="280"/>
      </w:pPr>
      <w:r>
        <w:t>Satış bedeli hemen veya verilen mühlet içinde ödenmezse icra İflas Kanununun 133’üncü mad</w:t>
      </w:r>
      <w:r>
        <w:softHyphen/>
        <w:t>desi gereği</w:t>
      </w:r>
      <w:r>
        <w:t>nce ihale feshedilir, iki ihale arasındaki farktan ve yüzde 10 faizden alıcı ve kefilleri mesul tutulacak ve hiç bir hükme hacet kalmadan kendilerinden tahsil edilecektir.</w:t>
      </w:r>
    </w:p>
    <w:p w:rsidR="004C60F0" w:rsidRDefault="00282766">
      <w:pPr>
        <w:pStyle w:val="Gvdemetni0"/>
        <w:framePr w:w="6557" w:h="11491" w:hRule="exact" w:wrap="none" w:vAnchor="page" w:hAnchor="page" w:x="2735" w:y="2660"/>
        <w:numPr>
          <w:ilvl w:val="0"/>
          <w:numId w:val="1"/>
        </w:numPr>
        <w:shd w:val="clear" w:color="auto" w:fill="auto"/>
        <w:tabs>
          <w:tab w:val="left" w:pos="318"/>
        </w:tabs>
        <w:ind w:left="140"/>
      </w:pPr>
      <w:r>
        <w:t>İhaleye iştirak eden alıcılar şartnameyi görmüş ve münderecatını kabul etmiş sayılac</w:t>
      </w:r>
      <w:r>
        <w:t>aktan,</w:t>
      </w:r>
    </w:p>
    <w:p w:rsidR="004C60F0" w:rsidRDefault="00282766">
      <w:pPr>
        <w:pStyle w:val="Gvdemetni0"/>
        <w:framePr w:w="6557" w:h="11491" w:hRule="exact" w:wrap="none" w:vAnchor="page" w:hAnchor="page" w:x="2735" w:y="2660"/>
        <w:shd w:val="clear" w:color="auto" w:fill="auto"/>
        <w:ind w:left="140" w:right="280"/>
      </w:pPr>
      <w:r>
        <w:t>ayrıca tüm hissedarlar ve ilgililere satış ilanı tebliğe çıkanlmış olup, tebliğ edilemeyenlere tebliğ yer</w:t>
      </w:r>
      <w:r>
        <w:softHyphen/>
        <w:t>ine geçmek üzere ve başkaca bilgi almak isteyenlerin memurluğumuzun 2011/11 Satış sayılı dosyasına başvurmalan tüm hissedar ve diğer ilgililere</w:t>
      </w:r>
      <w:r>
        <w:t xml:space="preserve"> İLANEN TEBLİĞ OLUNUR.</w:t>
      </w:r>
    </w:p>
    <w:p w:rsidR="004C60F0" w:rsidRDefault="00282766">
      <w:pPr>
        <w:pStyle w:val="Gvdemetni0"/>
        <w:framePr w:w="6557" w:h="11491" w:hRule="exact" w:wrap="none" w:vAnchor="page" w:hAnchor="page" w:x="2735" w:y="2660"/>
        <w:shd w:val="clear" w:color="auto" w:fill="auto"/>
        <w:ind w:left="140"/>
      </w:pPr>
      <w:r>
        <w:t>(*) ilgililer tabirine irtifak hakkı sahipleri de dahildir.</w:t>
      </w:r>
    </w:p>
    <w:p w:rsidR="004C60F0" w:rsidRDefault="00282766">
      <w:pPr>
        <w:pStyle w:val="Gvdemetni0"/>
        <w:framePr w:w="6557" w:h="11491" w:hRule="exact" w:wrap="none" w:vAnchor="page" w:hAnchor="page" w:x="2735" w:y="2660"/>
        <w:shd w:val="clear" w:color="auto" w:fill="auto"/>
        <w:ind w:left="140"/>
      </w:pPr>
      <w:r>
        <w:t>(İİK. m.126)</w:t>
      </w:r>
    </w:p>
    <w:p w:rsidR="004C60F0" w:rsidRDefault="00282766">
      <w:pPr>
        <w:pStyle w:val="Balk20"/>
        <w:framePr w:w="6557" w:h="11491" w:hRule="exact" w:wrap="none" w:vAnchor="page" w:hAnchor="page" w:x="2735" w:y="2660"/>
        <w:shd w:val="clear" w:color="auto" w:fill="auto"/>
        <w:tabs>
          <w:tab w:val="left" w:leader="underscore" w:pos="1287"/>
          <w:tab w:val="left" w:leader="underscore" w:pos="2286"/>
          <w:tab w:val="left" w:leader="underscore" w:pos="6495"/>
        </w:tabs>
        <w:ind w:left="140" w:right="280"/>
      </w:pPr>
      <w:bookmarkStart w:id="1" w:name="bookmark1"/>
      <w:r>
        <w:rPr>
          <w:rStyle w:val="Balk265ptKaln0ptbolukbraklyor"/>
          <w:lang w:val="tr-TR"/>
        </w:rPr>
        <w:t xml:space="preserve">(B; 70487-1694) </w:t>
      </w:r>
      <w:r>
        <w:rPr>
          <w:rStyle w:val="Balk265ptKaln0ptbolukbraklyor"/>
        </w:rPr>
        <w:t>(</w:t>
      </w:r>
      <w:hyperlink r:id="rId7" w:history="1">
        <w:r>
          <w:rPr>
            <w:rStyle w:val="Kpr"/>
          </w:rPr>
          <w:t>www.bik.gov.tr</w:t>
        </w:r>
      </w:hyperlink>
      <w:r>
        <w:rPr>
          <w:rStyle w:val="Balk265ptKaln0ptbolukbraklyor"/>
        </w:rPr>
        <w:t xml:space="preserve">) </w:t>
      </w:r>
      <w:r>
        <w:tab/>
      </w:r>
      <w:r>
        <w:tab/>
      </w:r>
      <w:r>
        <w:rPr>
          <w:rStyle w:val="Balk21"/>
        </w:rPr>
        <w:t xml:space="preserve">Resmi ilanlar </w:t>
      </w:r>
      <w:hyperlink r:id="rId8" w:history="1">
        <w:r>
          <w:rPr>
            <w:rStyle w:val="Kpr"/>
          </w:rPr>
          <w:t>www.ilan.gov.tr</w:t>
        </w:r>
        <w:r>
          <w:rPr>
            <w:rStyle w:val="Kpr"/>
            <w:vertAlign w:val="superscript"/>
          </w:rPr>
          <w:t>l</w:t>
        </w:r>
        <w:r>
          <w:rPr>
            <w:rStyle w:val="Kpr"/>
          </w:rPr>
          <w:t>de</w:t>
        </w:r>
      </w:hyperlink>
      <w:r>
        <w:tab/>
      </w:r>
      <w:bookmarkEnd w:id="1"/>
    </w:p>
    <w:p w:rsidR="004C60F0" w:rsidRDefault="004C60F0">
      <w:pPr>
        <w:rPr>
          <w:sz w:val="2"/>
          <w:szCs w:val="2"/>
        </w:rPr>
      </w:pPr>
    </w:p>
    <w:sectPr w:rsidR="004C60F0" w:rsidSect="004C60F0">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66" w:rsidRDefault="00282766" w:rsidP="004C60F0">
      <w:r>
        <w:separator/>
      </w:r>
    </w:p>
  </w:endnote>
  <w:endnote w:type="continuationSeparator" w:id="0">
    <w:p w:rsidR="00282766" w:rsidRDefault="00282766" w:rsidP="004C60F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66" w:rsidRDefault="00282766"/>
  </w:footnote>
  <w:footnote w:type="continuationSeparator" w:id="0">
    <w:p w:rsidR="00282766" w:rsidRDefault="002827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A4D27"/>
    <w:multiLevelType w:val="multilevel"/>
    <w:tmpl w:val="2D266ACE"/>
    <w:lvl w:ilvl="0">
      <w:start w:val="1"/>
      <w:numFmt w:val="decimal"/>
      <w:lvlText w:val="%1-"/>
      <w:lvlJc w:val="left"/>
      <w:rPr>
        <w:rFonts w:ascii="Trebuchet MS" w:eastAsia="Trebuchet MS" w:hAnsi="Trebuchet MS" w:cs="Trebuchet MS"/>
        <w:b w:val="0"/>
        <w:bCs w:val="0"/>
        <w:i w:val="0"/>
        <w:iCs w:val="0"/>
        <w:smallCaps w:val="0"/>
        <w:strike w:val="0"/>
        <w:color w:val="000000"/>
        <w:spacing w:val="-6"/>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C60F0"/>
    <w:rsid w:val="00282766"/>
    <w:rsid w:val="004C60F0"/>
    <w:rsid w:val="006E3D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60F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C60F0"/>
    <w:rPr>
      <w:color w:val="000080"/>
      <w:u w:val="single"/>
    </w:rPr>
  </w:style>
  <w:style w:type="character" w:customStyle="1" w:styleId="Balk1">
    <w:name w:val="Başlık #1_"/>
    <w:basedOn w:val="VarsaylanParagrafYazTipi"/>
    <w:link w:val="Balk10"/>
    <w:rsid w:val="004C60F0"/>
    <w:rPr>
      <w:rFonts w:ascii="Trebuchet MS" w:eastAsia="Trebuchet MS" w:hAnsi="Trebuchet MS" w:cs="Trebuchet MS"/>
      <w:b/>
      <w:bCs/>
      <w:i w:val="0"/>
      <w:iCs w:val="0"/>
      <w:smallCaps w:val="0"/>
      <w:strike w:val="0"/>
      <w:spacing w:val="-15"/>
      <w:u w:val="none"/>
    </w:rPr>
  </w:style>
  <w:style w:type="character" w:customStyle="1" w:styleId="Gvdemetni2">
    <w:name w:val="Gövde metni (2)_"/>
    <w:basedOn w:val="VarsaylanParagrafYazTipi"/>
    <w:link w:val="Gvdemetni20"/>
    <w:rsid w:val="004C60F0"/>
    <w:rPr>
      <w:rFonts w:ascii="Trebuchet MS" w:eastAsia="Trebuchet MS" w:hAnsi="Trebuchet MS" w:cs="Trebuchet MS"/>
      <w:b/>
      <w:bCs/>
      <w:i w:val="0"/>
      <w:iCs w:val="0"/>
      <w:smallCaps w:val="0"/>
      <w:strike w:val="0"/>
      <w:spacing w:val="-8"/>
      <w:sz w:val="13"/>
      <w:szCs w:val="13"/>
      <w:u w:val="none"/>
    </w:rPr>
  </w:style>
  <w:style w:type="character" w:customStyle="1" w:styleId="Gvdemetni">
    <w:name w:val="Gövde metni_"/>
    <w:basedOn w:val="VarsaylanParagrafYazTipi"/>
    <w:link w:val="Gvdemetni0"/>
    <w:rsid w:val="004C60F0"/>
    <w:rPr>
      <w:rFonts w:ascii="Trebuchet MS" w:eastAsia="Trebuchet MS" w:hAnsi="Trebuchet MS" w:cs="Trebuchet MS"/>
      <w:b w:val="0"/>
      <w:bCs w:val="0"/>
      <w:i w:val="0"/>
      <w:iCs w:val="0"/>
      <w:smallCaps w:val="0"/>
      <w:strike w:val="0"/>
      <w:spacing w:val="-6"/>
      <w:sz w:val="13"/>
      <w:szCs w:val="13"/>
      <w:u w:val="none"/>
    </w:rPr>
  </w:style>
  <w:style w:type="character" w:customStyle="1" w:styleId="GvdemetniKaln0ptbolukbraklyor">
    <w:name w:val="Gövde metni + Kalın;0 pt boşluk bırakılıyor"/>
    <w:basedOn w:val="Gvdemetni"/>
    <w:rsid w:val="004C60F0"/>
    <w:rPr>
      <w:b/>
      <w:bCs/>
      <w:color w:val="000000"/>
      <w:spacing w:val="-8"/>
      <w:w w:val="100"/>
      <w:position w:val="0"/>
      <w:lang w:val="tr-TR"/>
    </w:rPr>
  </w:style>
  <w:style w:type="character" w:customStyle="1" w:styleId="GvdemetniKaln0ptbolukbraklyor0">
    <w:name w:val="Gövde metni + Kalın;0 pt boşluk bırakılıyor"/>
    <w:basedOn w:val="Gvdemetni"/>
    <w:rsid w:val="004C60F0"/>
    <w:rPr>
      <w:b/>
      <w:bCs/>
      <w:color w:val="000000"/>
      <w:spacing w:val="-9"/>
      <w:w w:val="100"/>
      <w:position w:val="0"/>
      <w:lang w:val="tr-TR"/>
    </w:rPr>
  </w:style>
  <w:style w:type="character" w:customStyle="1" w:styleId="Gvdemetni2KalnDeil0ptbolukbraklyor">
    <w:name w:val="Gövde metni (2) + Kalın Değil;0 pt boşluk bırakılıyor"/>
    <w:basedOn w:val="Gvdemetni2"/>
    <w:rsid w:val="004C60F0"/>
    <w:rPr>
      <w:b/>
      <w:bCs/>
      <w:color w:val="000000"/>
      <w:spacing w:val="-6"/>
      <w:w w:val="100"/>
      <w:position w:val="0"/>
      <w:lang w:val="tr-TR"/>
    </w:rPr>
  </w:style>
  <w:style w:type="character" w:customStyle="1" w:styleId="Balk2">
    <w:name w:val="Başlık #2_"/>
    <w:basedOn w:val="VarsaylanParagrafYazTipi"/>
    <w:link w:val="Balk20"/>
    <w:rsid w:val="004C60F0"/>
    <w:rPr>
      <w:rFonts w:ascii="Trebuchet MS" w:eastAsia="Trebuchet MS" w:hAnsi="Trebuchet MS" w:cs="Trebuchet MS"/>
      <w:b w:val="0"/>
      <w:bCs w:val="0"/>
      <w:i w:val="0"/>
      <w:iCs w:val="0"/>
      <w:smallCaps w:val="0"/>
      <w:strike w:val="0"/>
      <w:spacing w:val="-13"/>
      <w:sz w:val="15"/>
      <w:szCs w:val="15"/>
      <w:u w:val="none"/>
    </w:rPr>
  </w:style>
  <w:style w:type="character" w:customStyle="1" w:styleId="Balk265ptKaln0ptbolukbraklyor">
    <w:name w:val="Başlık #2 + 6;5 pt;Kalın;0 pt boşluk bırakılıyor"/>
    <w:basedOn w:val="Balk2"/>
    <w:rsid w:val="004C60F0"/>
    <w:rPr>
      <w:b/>
      <w:bCs/>
      <w:color w:val="000000"/>
      <w:spacing w:val="-9"/>
      <w:w w:val="100"/>
      <w:position w:val="0"/>
      <w:sz w:val="13"/>
      <w:szCs w:val="13"/>
      <w:lang w:val="en-US"/>
    </w:rPr>
  </w:style>
  <w:style w:type="character" w:customStyle="1" w:styleId="Balk21">
    <w:name w:val="Başlık #2"/>
    <w:basedOn w:val="Balk2"/>
    <w:rsid w:val="004C60F0"/>
    <w:rPr>
      <w:color w:val="000000"/>
      <w:w w:val="100"/>
      <w:position w:val="0"/>
      <w:u w:val="single"/>
      <w:lang w:val="tr-TR"/>
    </w:rPr>
  </w:style>
  <w:style w:type="paragraph" w:customStyle="1" w:styleId="Balk10">
    <w:name w:val="Başlık #1"/>
    <w:basedOn w:val="Normal"/>
    <w:link w:val="Balk1"/>
    <w:rsid w:val="004C60F0"/>
    <w:pPr>
      <w:shd w:val="clear" w:color="auto" w:fill="FFFFFF"/>
      <w:spacing w:line="278" w:lineRule="exact"/>
      <w:jc w:val="center"/>
      <w:outlineLvl w:val="0"/>
    </w:pPr>
    <w:rPr>
      <w:rFonts w:ascii="Trebuchet MS" w:eastAsia="Trebuchet MS" w:hAnsi="Trebuchet MS" w:cs="Trebuchet MS"/>
      <w:b/>
      <w:bCs/>
      <w:spacing w:val="-15"/>
    </w:rPr>
  </w:style>
  <w:style w:type="paragraph" w:customStyle="1" w:styleId="Gvdemetni20">
    <w:name w:val="Gövde metni (2)"/>
    <w:basedOn w:val="Normal"/>
    <w:link w:val="Gvdemetni2"/>
    <w:rsid w:val="004C60F0"/>
    <w:pPr>
      <w:shd w:val="clear" w:color="auto" w:fill="FFFFFF"/>
      <w:spacing w:line="197" w:lineRule="exact"/>
      <w:jc w:val="both"/>
    </w:pPr>
    <w:rPr>
      <w:rFonts w:ascii="Trebuchet MS" w:eastAsia="Trebuchet MS" w:hAnsi="Trebuchet MS" w:cs="Trebuchet MS"/>
      <w:b/>
      <w:bCs/>
      <w:spacing w:val="-8"/>
      <w:sz w:val="13"/>
      <w:szCs w:val="13"/>
    </w:rPr>
  </w:style>
  <w:style w:type="paragraph" w:customStyle="1" w:styleId="Gvdemetni0">
    <w:name w:val="Gövde metni"/>
    <w:basedOn w:val="Normal"/>
    <w:link w:val="Gvdemetni"/>
    <w:rsid w:val="004C60F0"/>
    <w:pPr>
      <w:shd w:val="clear" w:color="auto" w:fill="FFFFFF"/>
      <w:spacing w:line="197" w:lineRule="exact"/>
      <w:jc w:val="both"/>
    </w:pPr>
    <w:rPr>
      <w:rFonts w:ascii="Trebuchet MS" w:eastAsia="Trebuchet MS" w:hAnsi="Trebuchet MS" w:cs="Trebuchet MS"/>
      <w:spacing w:val="-6"/>
      <w:sz w:val="13"/>
      <w:szCs w:val="13"/>
    </w:rPr>
  </w:style>
  <w:style w:type="paragraph" w:customStyle="1" w:styleId="Balk20">
    <w:name w:val="Başlık #2"/>
    <w:basedOn w:val="Normal"/>
    <w:link w:val="Balk2"/>
    <w:rsid w:val="004C60F0"/>
    <w:pPr>
      <w:shd w:val="clear" w:color="auto" w:fill="FFFFFF"/>
      <w:spacing w:line="293" w:lineRule="exact"/>
      <w:ind w:firstLine="4000"/>
      <w:outlineLvl w:val="1"/>
    </w:pPr>
    <w:rPr>
      <w:rFonts w:ascii="Trebuchet MS" w:eastAsia="Trebuchet MS" w:hAnsi="Trebuchet MS" w:cs="Trebuchet MS"/>
      <w:spacing w:val="-13"/>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rlde"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2012-11-14T09:53:00Z</dcterms:created>
  <dcterms:modified xsi:type="dcterms:W3CDTF">2012-11-14T09:54:00Z</dcterms:modified>
</cp:coreProperties>
</file>