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E1" w:rsidRDefault="000F409B" w:rsidP="00BC0D39">
      <w:pPr>
        <w:pStyle w:val="Balk10"/>
        <w:framePr w:w="5957" w:h="504" w:hRule="exact" w:wrap="none" w:vAnchor="page" w:hAnchor="page" w:x="1282" w:y="1010"/>
        <w:shd w:val="clear" w:color="auto" w:fill="000000"/>
        <w:spacing w:line="210" w:lineRule="exact"/>
        <w:ind w:right="340" w:firstLine="0"/>
      </w:pPr>
      <w:bookmarkStart w:id="0" w:name="bookmark0"/>
      <w:r>
        <w:rPr>
          <w:rStyle w:val="Balk11"/>
          <w:b/>
          <w:bCs/>
        </w:rPr>
        <w:t>MUDANYA İCRA DAİRESİ TAŞINMAZIN AÇIK ARTIRMA İLANI</w:t>
      </w:r>
      <w:bookmarkEnd w:id="0"/>
    </w:p>
    <w:p w:rsidR="004D54E1" w:rsidRDefault="000F409B">
      <w:pPr>
        <w:pStyle w:val="Gvdemetni20"/>
        <w:framePr w:w="2726" w:h="9211" w:hRule="exact" w:wrap="none" w:vAnchor="page" w:hAnchor="page" w:x="1268" w:y="1612"/>
        <w:shd w:val="clear" w:color="auto" w:fill="auto"/>
        <w:ind w:right="20"/>
      </w:pPr>
      <w:r>
        <w:t>2013/68 TLMT.</w:t>
      </w:r>
    </w:p>
    <w:p w:rsidR="004D54E1" w:rsidRDefault="000F409B">
      <w:pPr>
        <w:pStyle w:val="Gvdemetni0"/>
        <w:framePr w:w="2726" w:h="9211" w:hRule="exact" w:wrap="none" w:vAnchor="page" w:hAnchor="page" w:x="1268" w:y="1612"/>
        <w:shd w:val="clear" w:color="auto" w:fill="auto"/>
        <w:ind w:left="20" w:right="20" w:firstLine="140"/>
      </w:pPr>
      <w:r>
        <w:t>Satılmasına karar verilen taşınmazın cinsi, niteliği, kıymeti, adedi, önemli özellikleri:</w:t>
      </w:r>
    </w:p>
    <w:p w:rsidR="004D54E1" w:rsidRDefault="000F409B">
      <w:pPr>
        <w:pStyle w:val="Gvdemetni20"/>
        <w:framePr w:w="2726" w:h="9211" w:hRule="exact" w:wrap="none" w:vAnchor="page" w:hAnchor="page" w:x="1268" w:y="1612"/>
        <w:shd w:val="clear" w:color="auto" w:fill="auto"/>
        <w:ind w:left="20" w:firstLine="140"/>
        <w:jc w:val="both"/>
      </w:pPr>
      <w:r>
        <w:t>1 NO’LU TAŞINMAZIN</w:t>
      </w:r>
    </w:p>
    <w:p w:rsidR="004D54E1" w:rsidRDefault="000F409B">
      <w:pPr>
        <w:pStyle w:val="Gvdemetni0"/>
        <w:framePr w:w="2726" w:h="9211" w:hRule="exact" w:wrap="none" w:vAnchor="page" w:hAnchor="page" w:x="1268" w:y="1612"/>
        <w:shd w:val="clear" w:color="auto" w:fill="auto"/>
        <w:ind w:left="20" w:right="20" w:firstLine="140"/>
      </w:pPr>
      <w:r>
        <w:rPr>
          <w:rStyle w:val="GvdemetniKaln"/>
        </w:rPr>
        <w:t xml:space="preserve">Tapu Kaydı: </w:t>
      </w:r>
      <w:r>
        <w:t xml:space="preserve">Bursa ili, Mudanya ilçesi, Çağrışan köyü, </w:t>
      </w:r>
      <w:proofErr w:type="spellStart"/>
      <w:r>
        <w:t>Üçdikmeler</w:t>
      </w:r>
      <w:proofErr w:type="spellEnd"/>
      <w:r>
        <w:t xml:space="preserve"> mevkii, cilt: 2, </w:t>
      </w:r>
      <w:proofErr w:type="spellStart"/>
      <w:r>
        <w:t>sa</w:t>
      </w:r>
      <w:proofErr w:type="spellEnd"/>
      <w:r>
        <w:t xml:space="preserve">- </w:t>
      </w:r>
      <w:proofErr w:type="spellStart"/>
      <w:r>
        <w:t>hife</w:t>
      </w:r>
      <w:proofErr w:type="spellEnd"/>
      <w:r>
        <w:t>: 123, Parsel 126’da 4.410,03 m2 arsa tapuda Hüseyin Avni oğlu Halil İbrahim KÜCUR adına kayıtlıdır.</w:t>
      </w:r>
    </w:p>
    <w:p w:rsidR="004D54E1" w:rsidRDefault="000F409B">
      <w:pPr>
        <w:pStyle w:val="Gvdemetni0"/>
        <w:framePr w:w="2726" w:h="9211" w:hRule="exact" w:wrap="none" w:vAnchor="page" w:hAnchor="page" w:x="1268" w:y="1612"/>
        <w:shd w:val="clear" w:color="auto" w:fill="auto"/>
        <w:ind w:left="20" w:right="20" w:firstLine="140"/>
      </w:pPr>
      <w:r>
        <w:rPr>
          <w:rStyle w:val="GvdemetniKaln"/>
        </w:rPr>
        <w:t xml:space="preserve">İmar Durumu: </w:t>
      </w:r>
      <w:r>
        <w:t xml:space="preserve">Tanımazların bulunduğu 126 ve 127 parsellerin imar yüksekliği: 6,50 </w:t>
      </w:r>
      <w:proofErr w:type="spellStart"/>
      <w:r>
        <w:t>mt</w:t>
      </w:r>
      <w:proofErr w:type="spellEnd"/>
      <w:r>
        <w:t xml:space="preserve">. </w:t>
      </w:r>
      <w:proofErr w:type="gramStart"/>
      <w:r>
        <w:t>ayrık</w:t>
      </w:r>
      <w:proofErr w:type="gramEnd"/>
      <w:r>
        <w:t xml:space="preserve"> nizam, Ön bahçe: 5,00 </w:t>
      </w:r>
      <w:proofErr w:type="spellStart"/>
      <w:r>
        <w:t>mt</w:t>
      </w:r>
      <w:proofErr w:type="spellEnd"/>
      <w:r>
        <w:t>. Yan bah</w:t>
      </w:r>
      <w:r>
        <w:softHyphen/>
        <w:t xml:space="preserve">çe: 3,00 </w:t>
      </w:r>
      <w:proofErr w:type="spellStart"/>
      <w:r>
        <w:t>mt</w:t>
      </w:r>
      <w:proofErr w:type="spellEnd"/>
      <w:r>
        <w:t xml:space="preserve">. </w:t>
      </w:r>
      <w:proofErr w:type="gramStart"/>
      <w:r>
        <w:t>arka</w:t>
      </w:r>
      <w:proofErr w:type="gramEnd"/>
      <w:r>
        <w:t xml:space="preserve"> bahçe mesafesi: H/2, Kul</w:t>
      </w:r>
      <w:r>
        <w:softHyphen/>
        <w:t>lanım Alan Katsayısı: 0,30 olarak verilmiştir.</w:t>
      </w:r>
    </w:p>
    <w:p w:rsidR="004D54E1" w:rsidRDefault="000F409B">
      <w:pPr>
        <w:pStyle w:val="Gvdemetni0"/>
        <w:framePr w:w="2726" w:h="9211" w:hRule="exact" w:wrap="none" w:vAnchor="page" w:hAnchor="page" w:x="1268" w:y="1612"/>
        <w:shd w:val="clear" w:color="auto" w:fill="auto"/>
        <w:ind w:left="20" w:firstLine="140"/>
      </w:pPr>
      <w:r>
        <w:rPr>
          <w:rStyle w:val="GvdemetniKaln"/>
        </w:rPr>
        <w:t xml:space="preserve">Kıymeti: </w:t>
      </w:r>
      <w:r>
        <w:t>1.323.009,00 TL</w:t>
      </w:r>
    </w:p>
    <w:p w:rsidR="004D54E1" w:rsidRDefault="000F409B">
      <w:pPr>
        <w:pStyle w:val="Gvdemetni20"/>
        <w:framePr w:w="2726" w:h="9211" w:hRule="exact" w:wrap="none" w:vAnchor="page" w:hAnchor="page" w:x="1268" w:y="1612"/>
        <w:shd w:val="clear" w:color="auto" w:fill="auto"/>
        <w:ind w:left="20" w:firstLine="140"/>
        <w:jc w:val="both"/>
      </w:pPr>
      <w:r>
        <w:t xml:space="preserve">KDV Oranı: </w:t>
      </w:r>
      <w:r>
        <w:rPr>
          <w:rStyle w:val="Gvdemetni2KalnDeil"/>
        </w:rPr>
        <w:t>% 18</w:t>
      </w:r>
    </w:p>
    <w:p w:rsidR="004D54E1" w:rsidRDefault="000F409B">
      <w:pPr>
        <w:pStyle w:val="Gvdemetni0"/>
        <w:framePr w:w="2726" w:h="9211" w:hRule="exact" w:wrap="none" w:vAnchor="page" w:hAnchor="page" w:x="1268" w:y="1612"/>
        <w:numPr>
          <w:ilvl w:val="0"/>
          <w:numId w:val="1"/>
        </w:numPr>
        <w:shd w:val="clear" w:color="auto" w:fill="auto"/>
        <w:tabs>
          <w:tab w:val="left" w:pos="337"/>
        </w:tabs>
        <w:ind w:left="20" w:right="20" w:firstLine="140"/>
      </w:pPr>
      <w:r>
        <w:rPr>
          <w:rStyle w:val="GvdemetniKaln"/>
        </w:rPr>
        <w:t xml:space="preserve">Satış Günü: </w:t>
      </w:r>
      <w:proofErr w:type="gramStart"/>
      <w:r>
        <w:t>05/04/2013</w:t>
      </w:r>
      <w:proofErr w:type="gramEnd"/>
      <w:r>
        <w:t xml:space="preserve"> günü 10:00- 10:10 arası</w:t>
      </w:r>
    </w:p>
    <w:p w:rsidR="004D54E1" w:rsidRDefault="000F409B">
      <w:pPr>
        <w:pStyle w:val="Gvdemetni0"/>
        <w:framePr w:w="2726" w:h="9211" w:hRule="exact" w:wrap="none" w:vAnchor="page" w:hAnchor="page" w:x="1268" w:y="1612"/>
        <w:numPr>
          <w:ilvl w:val="0"/>
          <w:numId w:val="1"/>
        </w:numPr>
        <w:shd w:val="clear" w:color="auto" w:fill="auto"/>
        <w:tabs>
          <w:tab w:val="left" w:pos="332"/>
        </w:tabs>
        <w:ind w:left="20" w:right="20" w:firstLine="140"/>
      </w:pPr>
      <w:r>
        <w:rPr>
          <w:rStyle w:val="GvdemetniKaln"/>
        </w:rPr>
        <w:t xml:space="preserve">Satış Günü: </w:t>
      </w:r>
      <w:proofErr w:type="gramStart"/>
      <w:r>
        <w:t>30/04/2013</w:t>
      </w:r>
      <w:proofErr w:type="gramEnd"/>
      <w:r>
        <w:t xml:space="preserve"> günü 10,00- 10.10 arası</w:t>
      </w:r>
    </w:p>
    <w:p w:rsidR="004D54E1" w:rsidRDefault="000F409B">
      <w:pPr>
        <w:pStyle w:val="Gvdemetni0"/>
        <w:framePr w:w="2726" w:h="9211" w:hRule="exact" w:wrap="none" w:vAnchor="page" w:hAnchor="page" w:x="1268" w:y="1612"/>
        <w:shd w:val="clear" w:color="auto" w:fill="auto"/>
        <w:ind w:left="20" w:firstLine="140"/>
      </w:pPr>
      <w:r>
        <w:rPr>
          <w:rStyle w:val="GvdemetniKaln"/>
        </w:rPr>
        <w:t xml:space="preserve">Satış Yeri: </w:t>
      </w:r>
      <w:r>
        <w:t>MUDANYA ADLİYESİ ÖNÜ</w:t>
      </w:r>
    </w:p>
    <w:p w:rsidR="004D54E1" w:rsidRDefault="000F409B">
      <w:pPr>
        <w:pStyle w:val="Gvdemetni20"/>
        <w:framePr w:w="2726" w:h="9211" w:hRule="exact" w:wrap="none" w:vAnchor="page" w:hAnchor="page" w:x="1268" w:y="1612"/>
        <w:shd w:val="clear" w:color="auto" w:fill="auto"/>
        <w:ind w:left="20" w:right="20" w:firstLine="140"/>
        <w:jc w:val="both"/>
      </w:pPr>
      <w:r>
        <w:t xml:space="preserve">İ.İ.K. Madde 127 - (Değişik madde: </w:t>
      </w:r>
      <w:proofErr w:type="gramStart"/>
      <w:r>
        <w:t>09/11/1988</w:t>
      </w:r>
      <w:proofErr w:type="gramEnd"/>
      <w:r>
        <w:t xml:space="preserve"> - 3494/18 md.)</w:t>
      </w:r>
    </w:p>
    <w:p w:rsidR="004D54E1" w:rsidRDefault="000F409B">
      <w:pPr>
        <w:pStyle w:val="Gvdemetni0"/>
        <w:framePr w:w="2726" w:h="9211" w:hRule="exact" w:wrap="none" w:vAnchor="page" w:hAnchor="page" w:x="1268" w:y="1612"/>
        <w:shd w:val="clear" w:color="auto" w:fill="auto"/>
        <w:ind w:left="20" w:right="20" w:firstLine="140"/>
      </w:pPr>
      <w:r>
        <w:t>*** ilanın birer sureti borçluya ve alacaklı</w:t>
      </w:r>
      <w:r>
        <w:softHyphen/>
        <w:t>ya ve taşınmazın tapu siciline kayıtlı bulunan alakadarlarının tapuda kayıtlı adresleri varsa bu adreslerine tebliğ olunur. Adresin tapuda kayıtlı olmaması halinde ayrıca adres tahkiki yapılmaz, gazetedeki satış ilanı tebligat yeri</w:t>
      </w:r>
      <w:r>
        <w:softHyphen/>
        <w:t>ne geçer.</w:t>
      </w:r>
    </w:p>
    <w:p w:rsidR="004D54E1" w:rsidRDefault="000F409B">
      <w:pPr>
        <w:pStyle w:val="Gvdemetni20"/>
        <w:framePr w:w="2726" w:h="9211" w:hRule="exact" w:wrap="none" w:vAnchor="page" w:hAnchor="page" w:x="1268" w:y="1612"/>
        <w:shd w:val="clear" w:color="auto" w:fill="auto"/>
        <w:ind w:left="20" w:firstLine="140"/>
        <w:jc w:val="both"/>
      </w:pPr>
      <w:r>
        <w:t>Satış şartları:</w:t>
      </w:r>
    </w:p>
    <w:p w:rsidR="004D54E1" w:rsidRDefault="000F409B">
      <w:pPr>
        <w:pStyle w:val="Gvdemetni0"/>
        <w:framePr w:w="2726" w:h="9211" w:hRule="exact" w:wrap="none" w:vAnchor="page" w:hAnchor="page" w:x="1268" w:y="1612"/>
        <w:numPr>
          <w:ilvl w:val="0"/>
          <w:numId w:val="2"/>
        </w:numPr>
        <w:shd w:val="clear" w:color="auto" w:fill="auto"/>
        <w:tabs>
          <w:tab w:val="left" w:pos="346"/>
        </w:tabs>
        <w:ind w:left="20" w:right="20" w:firstLine="140"/>
      </w:pPr>
      <w:proofErr w:type="gramStart"/>
      <w:r>
        <w:t>ihale</w:t>
      </w:r>
      <w:proofErr w:type="gramEnd"/>
      <w:r>
        <w:t xml:space="preserve"> açık artırma suretiyle yapılacaktır. Birinci artırmanın yirmi gün öncesinden, artır</w:t>
      </w:r>
      <w:r>
        <w:softHyphen/>
        <w:t>ma tarihinden önceki gün sonuna kadar elek</w:t>
      </w:r>
      <w:r>
        <w:softHyphen/>
        <w:t>tronik oltamda teklif verilebilecektir. Bu artır</w:t>
      </w:r>
      <w:r>
        <w:softHyphen/>
        <w:t xml:space="preserve">mada tahmin edilen değerin % 50’sini ve </w:t>
      </w:r>
      <w:proofErr w:type="spellStart"/>
      <w:r>
        <w:t>rüç</w:t>
      </w:r>
      <w:proofErr w:type="spellEnd"/>
      <w:r>
        <w:t>- hanlı alacaklılar varsa alacakları toplamını ve satış giderlerini geçmek şartı ile ihale olunur. Birinci artırmada istekli bulunmadığı takdirde elektronik ortamda birinci artırmadan sonra</w:t>
      </w:r>
      <w:r>
        <w:softHyphen/>
        <w:t>ki beşinci günden, ikinci artırma gününden önceki gün sonuna kadar elektronik ortam</w:t>
      </w:r>
      <w:r>
        <w:softHyphen/>
        <w:t>da teklif verilebilecektir. Bu artırmada da ma</w:t>
      </w:r>
      <w:r>
        <w:softHyphen/>
        <w:t>lın tahmin edilen değerin % 50’sini, rüçhan- k alacaklılar varsa alacakları toplamını ve sa</w:t>
      </w:r>
      <w:r>
        <w:softHyphen/>
        <w:t>tış giderlerini geçmesi şartıyla en çok artırana</w:t>
      </w:r>
    </w:p>
    <w:p w:rsidR="004D54E1" w:rsidRDefault="000F409B">
      <w:pPr>
        <w:pStyle w:val="Gvdemetni0"/>
        <w:framePr w:w="2875" w:h="9206" w:hRule="exact" w:wrap="none" w:vAnchor="page" w:hAnchor="page" w:x="4201" w:y="1612"/>
        <w:shd w:val="clear" w:color="auto" w:fill="auto"/>
        <w:ind w:left="20" w:right="180"/>
      </w:pPr>
      <w:proofErr w:type="gramStart"/>
      <w:r>
        <w:t>ihale</w:t>
      </w:r>
      <w:proofErr w:type="gramEnd"/>
      <w:r>
        <w:t xml:space="preserve"> olunur. Böyle fazla bedelle alıcı çıkmaz</w:t>
      </w:r>
      <w:r>
        <w:softHyphen/>
        <w:t>sa satış talebi düşecektir.</w:t>
      </w:r>
    </w:p>
    <w:p w:rsidR="004D54E1" w:rsidRDefault="000F409B">
      <w:pPr>
        <w:pStyle w:val="Gvdemetni0"/>
        <w:framePr w:w="2875" w:h="9206" w:hRule="exact" w:wrap="none" w:vAnchor="page" w:hAnchor="page" w:x="4201" w:y="1612"/>
        <w:numPr>
          <w:ilvl w:val="0"/>
          <w:numId w:val="2"/>
        </w:numPr>
        <w:shd w:val="clear" w:color="auto" w:fill="auto"/>
        <w:tabs>
          <w:tab w:val="left" w:pos="390"/>
        </w:tabs>
        <w:ind w:left="20" w:right="180" w:firstLine="140"/>
      </w:pPr>
      <w:r>
        <w:t>Artırmaya iştirak edeceklerin, tahmin i edilen değerin % 20’si oranında pey akçesi | veya bu miktar kadar banka teminat mektubu vermeleri lazımdır. Satış peşin para iledir, alı</w:t>
      </w:r>
      <w:r>
        <w:softHyphen/>
        <w:t xml:space="preserve">cı isteğinde (10) günü geçmemek üzere süre verilebilir. Damga vergisi, KDV, 1/2 tapu harcı ile teslim masrafları alıcıya aittir. </w:t>
      </w:r>
      <w:proofErr w:type="gramStart"/>
      <w:r>
        <w:t>Tellaliye</w:t>
      </w:r>
      <w:proofErr w:type="gramEnd"/>
      <w:r>
        <w:t xml:space="preserve"> res</w:t>
      </w:r>
      <w:r>
        <w:softHyphen/>
        <w:t>mi, taşınmazın aynından doğan vergiler satış bedelinden ödenir.</w:t>
      </w:r>
    </w:p>
    <w:p w:rsidR="004D54E1" w:rsidRDefault="000F409B">
      <w:pPr>
        <w:pStyle w:val="Gvdemetni0"/>
        <w:framePr w:w="2875" w:h="9206" w:hRule="exact" w:wrap="none" w:vAnchor="page" w:hAnchor="page" w:x="4201" w:y="1612"/>
        <w:numPr>
          <w:ilvl w:val="0"/>
          <w:numId w:val="2"/>
        </w:numPr>
        <w:shd w:val="clear" w:color="auto" w:fill="auto"/>
        <w:tabs>
          <w:tab w:val="left" w:pos="351"/>
        </w:tabs>
        <w:ind w:left="20" w:right="180" w:firstLine="140"/>
      </w:pPr>
      <w:proofErr w:type="gramStart"/>
      <w:r>
        <w:t>ipotek</w:t>
      </w:r>
      <w:proofErr w:type="gramEnd"/>
      <w:r>
        <w:t xml:space="preserve"> sahibi alacaklılarla diğer ilgililerin (*) bu gayrimenkul üzerindeki haklarını özel</w:t>
      </w:r>
      <w:r>
        <w:softHyphen/>
        <w:t>likle faiz ve giderlere dair olan iddialarını da</w:t>
      </w:r>
      <w:r>
        <w:softHyphen/>
        <w:t>yanağı belgeler ile (15) gün içinde dairemize bildirmeleri lazımdır; aksi takdirde hakları ta</w:t>
      </w:r>
      <w:r>
        <w:softHyphen/>
        <w:t>pu sicil ile sabit olmadıkça paylaşmadan ha</w:t>
      </w:r>
      <w:r>
        <w:softHyphen/>
        <w:t>riç bırakılacaktır.</w:t>
      </w:r>
    </w:p>
    <w:p w:rsidR="004D54E1" w:rsidRDefault="000F409B">
      <w:pPr>
        <w:pStyle w:val="Gvdemetni0"/>
        <w:framePr w:w="2875" w:h="9206" w:hRule="exact" w:wrap="none" w:vAnchor="page" w:hAnchor="page" w:x="4201" w:y="1612"/>
        <w:numPr>
          <w:ilvl w:val="0"/>
          <w:numId w:val="2"/>
        </w:numPr>
        <w:shd w:val="clear" w:color="auto" w:fill="auto"/>
        <w:tabs>
          <w:tab w:val="left" w:pos="346"/>
        </w:tabs>
        <w:ind w:left="20" w:right="180" w:firstLine="140"/>
      </w:pPr>
      <w:proofErr w:type="gramStart"/>
      <w:r>
        <w:t>Satış bedeli hemen veya verilen müh</w:t>
      </w:r>
      <w:r>
        <w:softHyphen/>
        <w:t xml:space="preserve">let içinde ödenmezse icra ve iflas </w:t>
      </w:r>
      <w:proofErr w:type="spellStart"/>
      <w:r>
        <w:t>Kanu</w:t>
      </w:r>
      <w:proofErr w:type="spellEnd"/>
      <w:r>
        <w:t xml:space="preserve">- </w:t>
      </w:r>
      <w:proofErr w:type="spellStart"/>
      <w:r>
        <w:t>nu’nun</w:t>
      </w:r>
      <w:proofErr w:type="spellEnd"/>
      <w:r>
        <w:t xml:space="preserve"> 133'üncü maddesi gereğince iha</w:t>
      </w:r>
      <w:r>
        <w:softHyphen/>
        <w:t>le feshedilir, ihaleye katılıp daha sonra ihale bedelini yatırmamak sureti ile ihalenin fes</w:t>
      </w:r>
      <w:r>
        <w:softHyphen/>
        <w:t>hine sebep olan tüm alıcılar ve kefilleri tek</w:t>
      </w:r>
      <w:r>
        <w:softHyphen/>
        <w:t>lif ettikleri bedel ile son ihale bedeli arasın</w:t>
      </w:r>
      <w:r>
        <w:softHyphen/>
        <w:t xml:space="preserve">daki farktan ve diğer zararlardan ve ayrıca temerrüt faizinden </w:t>
      </w:r>
      <w:proofErr w:type="spellStart"/>
      <w:r>
        <w:t>müteselsilen</w:t>
      </w:r>
      <w:proofErr w:type="spellEnd"/>
      <w:r>
        <w:t xml:space="preserve"> mesul ola</w:t>
      </w:r>
      <w:r>
        <w:softHyphen/>
        <w:t>caklardır, ihale farkı ve temerrüt faizi ayrıca hükme hacet kalmaksızın dairemizce tahsil olunacak, bu fark, varsa öncelikle teminat bedelinden alınacaktır.</w:t>
      </w:r>
      <w:proofErr w:type="gramEnd"/>
    </w:p>
    <w:p w:rsidR="004D54E1" w:rsidRDefault="000F409B">
      <w:pPr>
        <w:pStyle w:val="Gvdemetni0"/>
        <w:framePr w:w="2875" w:h="9206" w:hRule="exact" w:wrap="none" w:vAnchor="page" w:hAnchor="page" w:x="4201" w:y="1612"/>
        <w:numPr>
          <w:ilvl w:val="0"/>
          <w:numId w:val="2"/>
        </w:numPr>
        <w:shd w:val="clear" w:color="auto" w:fill="auto"/>
        <w:tabs>
          <w:tab w:val="left" w:pos="361"/>
        </w:tabs>
        <w:ind w:left="20" w:right="180" w:firstLine="140"/>
      </w:pPr>
      <w:r>
        <w:t>Şartname, ilan tarihinden itibaren her</w:t>
      </w:r>
      <w:r>
        <w:softHyphen/>
        <w:t>kesin görebilmesi için dairede açık olup gide</w:t>
      </w:r>
      <w:r>
        <w:softHyphen/>
        <w:t>ri verildiği takdirde isteyen alıcıya bir örneği gönderilebilir.</w:t>
      </w:r>
    </w:p>
    <w:p w:rsidR="004D54E1" w:rsidRDefault="000F409B">
      <w:pPr>
        <w:pStyle w:val="Gvdemetni0"/>
        <w:framePr w:w="2875" w:h="9206" w:hRule="exact" w:wrap="none" w:vAnchor="page" w:hAnchor="page" w:x="4201" w:y="1612"/>
        <w:numPr>
          <w:ilvl w:val="0"/>
          <w:numId w:val="2"/>
        </w:numPr>
        <w:shd w:val="clear" w:color="auto" w:fill="auto"/>
        <w:tabs>
          <w:tab w:val="left" w:pos="361"/>
        </w:tabs>
        <w:ind w:left="20" w:right="180" w:firstLine="140"/>
      </w:pPr>
      <w:r>
        <w:t>Satışı iştirak edenlerin şartnameyi gör</w:t>
      </w:r>
      <w:r>
        <w:softHyphen/>
        <w:t>müş ve münderecatını kabul etmiş sayılacak</w:t>
      </w:r>
      <w:r>
        <w:softHyphen/>
        <w:t xml:space="preserve">ları, başkaca bilgi almak isteyenlerin 2013/68 </w:t>
      </w:r>
      <w:proofErr w:type="spellStart"/>
      <w:r>
        <w:t>Tlmt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numarasıyla müdürlüğümü</w:t>
      </w:r>
      <w:r>
        <w:softHyphen/>
        <w:t>ze başvurmaları ilan olunur.</w:t>
      </w:r>
    </w:p>
    <w:p w:rsidR="004D54E1" w:rsidRDefault="000F409B">
      <w:pPr>
        <w:pStyle w:val="Gvdemetni0"/>
        <w:framePr w:w="2875" w:h="9206" w:hRule="exact" w:wrap="none" w:vAnchor="page" w:hAnchor="page" w:x="4201" w:y="1612"/>
        <w:shd w:val="clear" w:color="auto" w:fill="auto"/>
        <w:ind w:left="20" w:firstLine="140"/>
      </w:pPr>
      <w:proofErr w:type="gramStart"/>
      <w:r>
        <w:t>(</w:t>
      </w:r>
      <w:proofErr w:type="gramEnd"/>
      <w:r>
        <w:t xml:space="preserve">İİK. </w:t>
      </w:r>
      <w:proofErr w:type="gramStart"/>
      <w:r>
        <w:t>m.</w:t>
      </w:r>
      <w:proofErr w:type="gramEnd"/>
      <w:r>
        <w:t xml:space="preserve"> 126)</w:t>
      </w:r>
    </w:p>
    <w:p w:rsidR="004D54E1" w:rsidRDefault="000F409B">
      <w:pPr>
        <w:pStyle w:val="Gvdemetni0"/>
        <w:framePr w:w="2875" w:h="9206" w:hRule="exact" w:wrap="none" w:vAnchor="page" w:hAnchor="page" w:x="4201" w:y="1612"/>
        <w:shd w:val="clear" w:color="auto" w:fill="auto"/>
        <w:ind w:left="20" w:right="180" w:firstLine="140"/>
      </w:pPr>
      <w:r>
        <w:t xml:space="preserve">O İlgililer tabirine irtifak hakkı sahipleri de </w:t>
      </w:r>
      <w:proofErr w:type="gramStart"/>
      <w:r>
        <w:t>dahildir</w:t>
      </w:r>
      <w:proofErr w:type="gramEnd"/>
      <w:r>
        <w:t>.</w:t>
      </w:r>
    </w:p>
    <w:p w:rsidR="004D54E1" w:rsidRDefault="000F409B">
      <w:pPr>
        <w:pStyle w:val="Gvdemetni0"/>
        <w:framePr w:w="2875" w:h="9206" w:hRule="exact" w:wrap="none" w:vAnchor="page" w:hAnchor="page" w:x="4201" w:y="1612"/>
        <w:shd w:val="clear" w:color="auto" w:fill="auto"/>
        <w:tabs>
          <w:tab w:val="left" w:pos="1177"/>
        </w:tabs>
        <w:ind w:left="20" w:right="180" w:firstLine="140"/>
      </w:pPr>
      <w:r>
        <w:t>*: Bu örnek, bu yönetmelikten önceki uygu</w:t>
      </w:r>
      <w:r>
        <w:softHyphen/>
        <w:t>lamada kullanılan Örnek 64’e karşılık gelmek</w:t>
      </w:r>
      <w:r>
        <w:softHyphen/>
        <w:t>tedir.</w:t>
      </w:r>
      <w:r>
        <w:tab/>
      </w:r>
      <w:hyperlink r:id="rId7" w:history="1">
        <w:r>
          <w:rPr>
            <w:rStyle w:val="Kpr"/>
            <w:lang w:val="en-US"/>
          </w:rPr>
          <w:t>www.bik.qov.tr</w:t>
        </w:r>
      </w:hyperlink>
      <w:r>
        <w:rPr>
          <w:rStyle w:val="GvdemetniKaln"/>
          <w:lang w:val="en-US"/>
        </w:rPr>
        <w:t xml:space="preserve"> </w:t>
      </w:r>
      <w:r>
        <w:rPr>
          <w:rStyle w:val="GvdemetniKaln"/>
        </w:rPr>
        <w:t>B: 6929</w:t>
      </w:r>
    </w:p>
    <w:p w:rsidR="004D54E1" w:rsidRDefault="004D54E1">
      <w:pPr>
        <w:rPr>
          <w:sz w:val="2"/>
          <w:szCs w:val="2"/>
        </w:rPr>
      </w:pPr>
    </w:p>
    <w:sectPr w:rsidR="004D54E1" w:rsidSect="004D54E1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3F" w:rsidRDefault="007C533F" w:rsidP="004D54E1">
      <w:r>
        <w:separator/>
      </w:r>
    </w:p>
  </w:endnote>
  <w:endnote w:type="continuationSeparator" w:id="0">
    <w:p w:rsidR="007C533F" w:rsidRDefault="007C533F" w:rsidP="004D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3F" w:rsidRDefault="007C533F"/>
  </w:footnote>
  <w:footnote w:type="continuationSeparator" w:id="0">
    <w:p w:rsidR="007C533F" w:rsidRDefault="007C53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5C0"/>
    <w:multiLevelType w:val="multilevel"/>
    <w:tmpl w:val="49E0656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F6136"/>
    <w:multiLevelType w:val="multilevel"/>
    <w:tmpl w:val="4D38C8F2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D54E1"/>
    <w:rsid w:val="000F409B"/>
    <w:rsid w:val="004D54E1"/>
    <w:rsid w:val="005958B3"/>
    <w:rsid w:val="007C533F"/>
    <w:rsid w:val="00BC0D39"/>
    <w:rsid w:val="00FE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54E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D54E1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4D54E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alk1KalnDeiltalik0ptbolukbraklyor">
    <w:name w:val="Başlık #1 + Kalın Değil;İtalik;0 pt boşluk bırakılıyor"/>
    <w:basedOn w:val="Balk1"/>
    <w:rsid w:val="004D54E1"/>
    <w:rPr>
      <w:b/>
      <w:bCs/>
      <w:i/>
      <w:iCs/>
      <w:color w:val="FFFFFF"/>
      <w:spacing w:val="0"/>
      <w:w w:val="100"/>
      <w:position w:val="0"/>
    </w:rPr>
  </w:style>
  <w:style w:type="character" w:customStyle="1" w:styleId="Balk11">
    <w:name w:val="Başlık #1"/>
    <w:basedOn w:val="Balk1"/>
    <w:rsid w:val="004D54E1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4D54E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4D54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4D54E1"/>
    <w:rPr>
      <w:b/>
      <w:bCs/>
      <w:color w:val="000000"/>
      <w:w w:val="100"/>
      <w:position w:val="0"/>
      <w:lang w:val="tr-TR"/>
    </w:rPr>
  </w:style>
  <w:style w:type="character" w:customStyle="1" w:styleId="Gvdemetni2KalnDeil">
    <w:name w:val="Gövde metni (2) + Kalın Değil"/>
    <w:basedOn w:val="Gvdemetni2"/>
    <w:rsid w:val="004D54E1"/>
    <w:rPr>
      <w:b/>
      <w:bCs/>
      <w:color w:val="00000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4D54E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Gvdemetni31">
    <w:name w:val="Gövde metni (3)"/>
    <w:basedOn w:val="Gvdemetni3"/>
    <w:rsid w:val="004D54E1"/>
    <w:rPr>
      <w:color w:val="FFFFFF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4D54E1"/>
    <w:pPr>
      <w:shd w:val="clear" w:color="auto" w:fill="FFFFFF"/>
      <w:spacing w:line="0" w:lineRule="atLeast"/>
      <w:ind w:firstLine="1060"/>
      <w:outlineLvl w:val="0"/>
    </w:pPr>
    <w:rPr>
      <w:rFonts w:ascii="Arial Narrow" w:eastAsia="Arial Narrow" w:hAnsi="Arial Narrow" w:cs="Arial Narrow"/>
      <w:b/>
      <w:bCs/>
      <w:spacing w:val="2"/>
      <w:sz w:val="21"/>
      <w:szCs w:val="21"/>
    </w:rPr>
  </w:style>
  <w:style w:type="paragraph" w:customStyle="1" w:styleId="Gvdemetni20">
    <w:name w:val="Gövde metni (2)"/>
    <w:basedOn w:val="Normal"/>
    <w:link w:val="Gvdemetni2"/>
    <w:rsid w:val="004D54E1"/>
    <w:pPr>
      <w:shd w:val="clear" w:color="auto" w:fill="FFFFFF"/>
      <w:spacing w:line="197" w:lineRule="exact"/>
      <w:jc w:val="right"/>
    </w:pPr>
    <w:rPr>
      <w:rFonts w:ascii="Arial Narrow" w:eastAsia="Arial Narrow" w:hAnsi="Arial Narrow" w:cs="Arial Narrow"/>
      <w:b/>
      <w:bCs/>
      <w:spacing w:val="-2"/>
      <w:sz w:val="15"/>
      <w:szCs w:val="15"/>
    </w:rPr>
  </w:style>
  <w:style w:type="paragraph" w:customStyle="1" w:styleId="Gvdemetni0">
    <w:name w:val="Gövde metni"/>
    <w:basedOn w:val="Normal"/>
    <w:link w:val="Gvdemetni"/>
    <w:rsid w:val="004D54E1"/>
    <w:pPr>
      <w:shd w:val="clear" w:color="auto" w:fill="FFFFFF"/>
      <w:spacing w:line="197" w:lineRule="exact"/>
      <w:jc w:val="both"/>
    </w:pPr>
    <w:rPr>
      <w:rFonts w:ascii="Arial Narrow" w:eastAsia="Arial Narrow" w:hAnsi="Arial Narrow" w:cs="Arial Narrow"/>
      <w:spacing w:val="-2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4D54E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q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2013-02-11T08:16:00Z</dcterms:created>
  <dcterms:modified xsi:type="dcterms:W3CDTF">2013-02-11T08:23:00Z</dcterms:modified>
</cp:coreProperties>
</file>