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EB" w:rsidRDefault="003042EB">
      <w:pPr>
        <w:spacing w:line="240" w:lineRule="exact"/>
        <w:rPr>
          <w:sz w:val="19"/>
          <w:szCs w:val="19"/>
        </w:rPr>
      </w:pPr>
    </w:p>
    <w:p w:rsidR="003042EB" w:rsidRDefault="003042EB">
      <w:pPr>
        <w:spacing w:before="53" w:after="53" w:line="240" w:lineRule="exact"/>
        <w:rPr>
          <w:sz w:val="19"/>
          <w:szCs w:val="19"/>
        </w:rPr>
      </w:pPr>
    </w:p>
    <w:p w:rsidR="003042EB" w:rsidRDefault="003042EB">
      <w:pPr>
        <w:rPr>
          <w:sz w:val="2"/>
          <w:szCs w:val="2"/>
        </w:rPr>
        <w:sectPr w:rsidR="003042EB">
          <w:type w:val="continuous"/>
          <w:pgSz w:w="11909" w:h="16838"/>
          <w:pgMar w:top="0" w:right="0" w:bottom="0" w:left="0" w:header="0" w:footer="3" w:gutter="0"/>
          <w:cols w:space="720"/>
          <w:noEndnote/>
          <w:docGrid w:linePitch="360"/>
        </w:sectPr>
      </w:pPr>
    </w:p>
    <w:p w:rsidR="003042EB" w:rsidRDefault="00CE56FB">
      <w:pPr>
        <w:pStyle w:val="Balk30"/>
        <w:keepNext/>
        <w:keepLines/>
        <w:shd w:val="clear" w:color="auto" w:fill="000000"/>
        <w:spacing w:after="121" w:line="298" w:lineRule="exact"/>
        <w:ind w:left="420"/>
      </w:pPr>
      <w:bookmarkStart w:id="0" w:name="bookmark3"/>
      <w:r>
        <w:rPr>
          <w:rStyle w:val="Balk31"/>
          <w:b/>
          <w:bCs/>
        </w:rPr>
        <w:lastRenderedPageBreak/>
        <w:t>T.C. ANKARA GÖLBAŞI İCRA MÜDÜRLÜĞÜ TAŞINMAZIN AÇIK ARTIRMA İLANI</w:t>
      </w:r>
      <w:bookmarkEnd w:id="0"/>
    </w:p>
    <w:p w:rsidR="003042EB" w:rsidRDefault="00CE56FB">
      <w:pPr>
        <w:pStyle w:val="Tabloyazs20"/>
        <w:framePr w:w="8150" w:wrap="notBeside" w:vAnchor="text" w:hAnchor="text" w:y="1"/>
        <w:shd w:val="clear" w:color="auto" w:fill="auto"/>
        <w:spacing w:line="170" w:lineRule="exact"/>
      </w:pPr>
      <w:r>
        <w:t xml:space="preserve">2009/1818 </w:t>
      </w:r>
      <w:proofErr w:type="spellStart"/>
      <w:r>
        <w:t>Tal</w:t>
      </w:r>
      <w:proofErr w:type="spellEnd"/>
      <w:r>
        <w:t>.</w:t>
      </w:r>
    </w:p>
    <w:p w:rsidR="003042EB" w:rsidRDefault="00CE56FB">
      <w:pPr>
        <w:pStyle w:val="Tabloyazs0"/>
        <w:framePr w:w="8150" w:wrap="notBeside" w:vAnchor="text" w:hAnchor="text" w:y="1"/>
        <w:shd w:val="clear" w:color="auto" w:fill="auto"/>
        <w:spacing w:line="170" w:lineRule="exact"/>
      </w:pPr>
      <w:r>
        <w:t>Satışına karar verilen taşınmazın cinsi, kıymeti, adedi, özellikleri</w:t>
      </w:r>
    </w:p>
    <w:tbl>
      <w:tblPr>
        <w:tblOverlap w:val="never"/>
        <w:tblW w:w="0" w:type="auto"/>
        <w:tblLayout w:type="fixed"/>
        <w:tblCellMar>
          <w:left w:w="10" w:type="dxa"/>
          <w:right w:w="10" w:type="dxa"/>
        </w:tblCellMar>
        <w:tblLook w:val="04A0"/>
      </w:tblPr>
      <w:tblGrid>
        <w:gridCol w:w="902"/>
        <w:gridCol w:w="898"/>
        <w:gridCol w:w="778"/>
        <w:gridCol w:w="1037"/>
        <w:gridCol w:w="1162"/>
        <w:gridCol w:w="854"/>
        <w:gridCol w:w="1464"/>
        <w:gridCol w:w="1056"/>
      </w:tblGrid>
      <w:tr w:rsidR="003042EB">
        <w:trPr>
          <w:trHeight w:hRule="exact" w:val="389"/>
        </w:trPr>
        <w:tc>
          <w:tcPr>
            <w:tcW w:w="902" w:type="dxa"/>
            <w:shd w:val="clear" w:color="auto" w:fill="FFFFFF"/>
          </w:tcPr>
          <w:p w:rsidR="003042EB" w:rsidRDefault="00CE56FB">
            <w:pPr>
              <w:pStyle w:val="Gvdemetni0"/>
              <w:framePr w:w="8150" w:wrap="notBeside" w:vAnchor="text" w:hAnchor="text" w:y="1"/>
              <w:shd w:val="clear" w:color="auto" w:fill="auto"/>
              <w:spacing w:line="170" w:lineRule="exact"/>
              <w:ind w:left="20"/>
            </w:pPr>
            <w:r>
              <w:rPr>
                <w:rStyle w:val="GvdemetniKaln"/>
              </w:rPr>
              <w:t>Köyü</w:t>
            </w:r>
          </w:p>
        </w:tc>
        <w:tc>
          <w:tcPr>
            <w:tcW w:w="898" w:type="dxa"/>
            <w:shd w:val="clear" w:color="auto" w:fill="FFFFFF"/>
          </w:tcPr>
          <w:p w:rsidR="003042EB" w:rsidRDefault="00CE56FB">
            <w:pPr>
              <w:pStyle w:val="Gvdemetni0"/>
              <w:framePr w:w="8150" w:wrap="notBeside" w:vAnchor="text" w:hAnchor="text" w:y="1"/>
              <w:shd w:val="clear" w:color="auto" w:fill="auto"/>
              <w:spacing w:line="170" w:lineRule="exact"/>
              <w:ind w:left="220"/>
            </w:pPr>
            <w:r>
              <w:rPr>
                <w:rStyle w:val="GvdemetniKaln"/>
              </w:rPr>
              <w:t>Ada</w:t>
            </w:r>
          </w:p>
        </w:tc>
        <w:tc>
          <w:tcPr>
            <w:tcW w:w="778"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Kaln"/>
              </w:rPr>
              <w:t>Parsel</w:t>
            </w:r>
          </w:p>
        </w:tc>
        <w:tc>
          <w:tcPr>
            <w:tcW w:w="1037"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Kaln"/>
              </w:rPr>
              <w:t>Miktarı</w:t>
            </w:r>
          </w:p>
          <w:p w:rsidR="003042EB" w:rsidRDefault="00CE56FB">
            <w:pPr>
              <w:pStyle w:val="Gvdemetni0"/>
              <w:framePr w:w="8150" w:wrap="notBeside" w:vAnchor="text" w:hAnchor="text" w:y="1"/>
              <w:shd w:val="clear" w:color="auto" w:fill="auto"/>
              <w:spacing w:line="170" w:lineRule="exact"/>
              <w:ind w:left="140"/>
            </w:pPr>
            <w:r>
              <w:rPr>
                <w:rStyle w:val="GvdemetniKaln"/>
              </w:rPr>
              <w:t>(M2)</w:t>
            </w:r>
          </w:p>
        </w:tc>
        <w:tc>
          <w:tcPr>
            <w:tcW w:w="1162"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Kaln"/>
              </w:rPr>
              <w:t>Cinsi</w:t>
            </w:r>
          </w:p>
        </w:tc>
        <w:tc>
          <w:tcPr>
            <w:tcW w:w="854"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Kaln"/>
              </w:rPr>
              <w:t>Hissesi</w:t>
            </w:r>
          </w:p>
        </w:tc>
        <w:tc>
          <w:tcPr>
            <w:tcW w:w="1464"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Kaln"/>
              </w:rPr>
              <w:t>Toplam Değeri</w:t>
            </w:r>
          </w:p>
        </w:tc>
        <w:tc>
          <w:tcPr>
            <w:tcW w:w="1056"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Kaln"/>
              </w:rPr>
              <w:t>Saati</w:t>
            </w:r>
          </w:p>
        </w:tc>
      </w:tr>
      <w:tr w:rsidR="003042EB">
        <w:trPr>
          <w:trHeight w:hRule="exact" w:val="187"/>
        </w:trPr>
        <w:tc>
          <w:tcPr>
            <w:tcW w:w="902" w:type="dxa"/>
            <w:shd w:val="clear" w:color="auto" w:fill="FFFFFF"/>
          </w:tcPr>
          <w:p w:rsidR="003042EB" w:rsidRDefault="00CE56FB">
            <w:pPr>
              <w:pStyle w:val="Gvdemetni0"/>
              <w:framePr w:w="8150" w:wrap="notBeside" w:vAnchor="text" w:hAnchor="text" w:y="1"/>
              <w:shd w:val="clear" w:color="auto" w:fill="auto"/>
              <w:spacing w:line="170" w:lineRule="exact"/>
              <w:ind w:left="20"/>
            </w:pPr>
            <w:proofErr w:type="spellStart"/>
            <w:r>
              <w:rPr>
                <w:rStyle w:val="Gvdemetni1"/>
              </w:rPr>
              <w:t>Günalan</w:t>
            </w:r>
            <w:proofErr w:type="spellEnd"/>
          </w:p>
        </w:tc>
        <w:tc>
          <w:tcPr>
            <w:tcW w:w="898" w:type="dxa"/>
            <w:shd w:val="clear" w:color="auto" w:fill="FFFFFF"/>
          </w:tcPr>
          <w:p w:rsidR="003042EB" w:rsidRDefault="00CE56FB">
            <w:pPr>
              <w:pStyle w:val="Gvdemetni0"/>
              <w:framePr w:w="8150" w:wrap="notBeside" w:vAnchor="text" w:hAnchor="text" w:y="1"/>
              <w:shd w:val="clear" w:color="auto" w:fill="auto"/>
              <w:spacing w:line="170" w:lineRule="exact"/>
              <w:ind w:left="220"/>
            </w:pPr>
            <w:r>
              <w:rPr>
                <w:rStyle w:val="Gvdemetni1"/>
              </w:rPr>
              <w:t>115787</w:t>
            </w:r>
          </w:p>
        </w:tc>
        <w:tc>
          <w:tcPr>
            <w:tcW w:w="778"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24</w:t>
            </w:r>
          </w:p>
        </w:tc>
        <w:tc>
          <w:tcPr>
            <w:tcW w:w="1037"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37.876,90</w:t>
            </w:r>
          </w:p>
        </w:tc>
        <w:tc>
          <w:tcPr>
            <w:tcW w:w="1162"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1"/>
              </w:rPr>
              <w:t>Tarla</w:t>
            </w:r>
          </w:p>
        </w:tc>
        <w:tc>
          <w:tcPr>
            <w:tcW w:w="854"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1"/>
              </w:rPr>
              <w:t>Tam</w:t>
            </w:r>
          </w:p>
        </w:tc>
        <w:tc>
          <w:tcPr>
            <w:tcW w:w="1464"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378.769.00 TL</w:t>
            </w:r>
          </w:p>
        </w:tc>
        <w:tc>
          <w:tcPr>
            <w:tcW w:w="1056"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11.00-11.05</w:t>
            </w:r>
          </w:p>
        </w:tc>
      </w:tr>
      <w:tr w:rsidR="003042EB">
        <w:trPr>
          <w:trHeight w:hRule="exact" w:val="197"/>
        </w:trPr>
        <w:tc>
          <w:tcPr>
            <w:tcW w:w="902" w:type="dxa"/>
            <w:shd w:val="clear" w:color="auto" w:fill="FFFFFF"/>
          </w:tcPr>
          <w:p w:rsidR="003042EB" w:rsidRDefault="00CE56FB">
            <w:pPr>
              <w:pStyle w:val="Gvdemetni0"/>
              <w:framePr w:w="8150" w:wrap="notBeside" w:vAnchor="text" w:hAnchor="text" w:y="1"/>
              <w:shd w:val="clear" w:color="auto" w:fill="auto"/>
              <w:spacing w:line="170" w:lineRule="exact"/>
              <w:ind w:left="320"/>
            </w:pPr>
            <w:r>
              <w:rPr>
                <w:rStyle w:val="Gvdemetni1"/>
              </w:rPr>
              <w:t>“</w:t>
            </w:r>
          </w:p>
        </w:tc>
        <w:tc>
          <w:tcPr>
            <w:tcW w:w="898" w:type="dxa"/>
            <w:shd w:val="clear" w:color="auto" w:fill="FFFFFF"/>
          </w:tcPr>
          <w:p w:rsidR="003042EB" w:rsidRDefault="00CE56FB">
            <w:pPr>
              <w:pStyle w:val="Gvdemetni0"/>
              <w:framePr w:w="8150" w:wrap="notBeside" w:vAnchor="text" w:hAnchor="text" w:y="1"/>
              <w:shd w:val="clear" w:color="auto" w:fill="auto"/>
              <w:spacing w:line="170" w:lineRule="exact"/>
              <w:ind w:left="220"/>
            </w:pPr>
            <w:r>
              <w:rPr>
                <w:rStyle w:val="Gvdemetni1"/>
              </w:rPr>
              <w:t>115786</w:t>
            </w:r>
          </w:p>
        </w:tc>
        <w:tc>
          <w:tcPr>
            <w:tcW w:w="778"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17</w:t>
            </w:r>
          </w:p>
        </w:tc>
        <w:tc>
          <w:tcPr>
            <w:tcW w:w="1037"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31.226,99</w:t>
            </w:r>
          </w:p>
        </w:tc>
        <w:tc>
          <w:tcPr>
            <w:tcW w:w="1162"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1"/>
              </w:rPr>
              <w:t>Ham Arazi</w:t>
            </w:r>
          </w:p>
        </w:tc>
        <w:tc>
          <w:tcPr>
            <w:tcW w:w="854"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1"/>
              </w:rPr>
              <w:t>Tam</w:t>
            </w:r>
          </w:p>
        </w:tc>
        <w:tc>
          <w:tcPr>
            <w:tcW w:w="1464"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281.042.91 TL</w:t>
            </w:r>
          </w:p>
        </w:tc>
        <w:tc>
          <w:tcPr>
            <w:tcW w:w="1056"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11.10-11.15</w:t>
            </w:r>
          </w:p>
        </w:tc>
      </w:tr>
      <w:tr w:rsidR="003042EB">
        <w:trPr>
          <w:trHeight w:hRule="exact" w:val="192"/>
        </w:trPr>
        <w:tc>
          <w:tcPr>
            <w:tcW w:w="902" w:type="dxa"/>
            <w:shd w:val="clear" w:color="auto" w:fill="FFFFFF"/>
          </w:tcPr>
          <w:p w:rsidR="003042EB" w:rsidRDefault="00CE56FB">
            <w:pPr>
              <w:pStyle w:val="Gvdemetni0"/>
              <w:framePr w:w="8150" w:wrap="notBeside" w:vAnchor="text" w:hAnchor="text" w:y="1"/>
              <w:shd w:val="clear" w:color="auto" w:fill="auto"/>
              <w:spacing w:line="170" w:lineRule="exact"/>
              <w:ind w:left="320"/>
            </w:pPr>
            <w:proofErr w:type="gramStart"/>
            <w:r>
              <w:rPr>
                <w:rStyle w:val="Gvdemetni1"/>
              </w:rPr>
              <w:t>(</w:t>
            </w:r>
            <w:proofErr w:type="gramEnd"/>
            <w:r>
              <w:rPr>
                <w:rStyle w:val="Gvdemetni1"/>
              </w:rPr>
              <w:t>t</w:t>
            </w:r>
          </w:p>
        </w:tc>
        <w:tc>
          <w:tcPr>
            <w:tcW w:w="898" w:type="dxa"/>
            <w:shd w:val="clear" w:color="auto" w:fill="FFFFFF"/>
          </w:tcPr>
          <w:p w:rsidR="003042EB" w:rsidRDefault="00CE56FB">
            <w:pPr>
              <w:pStyle w:val="Gvdemetni0"/>
              <w:framePr w:w="8150" w:wrap="notBeside" w:vAnchor="text" w:hAnchor="text" w:y="1"/>
              <w:shd w:val="clear" w:color="auto" w:fill="auto"/>
              <w:spacing w:line="170" w:lineRule="exact"/>
              <w:ind w:left="220"/>
            </w:pPr>
            <w:r>
              <w:rPr>
                <w:rStyle w:val="Gvdemetni1"/>
              </w:rPr>
              <w:t>115786</w:t>
            </w:r>
          </w:p>
        </w:tc>
        <w:tc>
          <w:tcPr>
            <w:tcW w:w="778"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19</w:t>
            </w:r>
          </w:p>
        </w:tc>
        <w:tc>
          <w:tcPr>
            <w:tcW w:w="1037"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5.637,45</w:t>
            </w:r>
          </w:p>
        </w:tc>
        <w:tc>
          <w:tcPr>
            <w:tcW w:w="1162"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1"/>
              </w:rPr>
              <w:t>Ham Arazi</w:t>
            </w:r>
          </w:p>
        </w:tc>
        <w:tc>
          <w:tcPr>
            <w:tcW w:w="854"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1"/>
              </w:rPr>
              <w:t>Tam</w:t>
            </w:r>
          </w:p>
        </w:tc>
        <w:tc>
          <w:tcPr>
            <w:tcW w:w="1464"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50.737.05 TL</w:t>
            </w:r>
          </w:p>
        </w:tc>
        <w:tc>
          <w:tcPr>
            <w:tcW w:w="1056"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11.20-11.25</w:t>
            </w:r>
          </w:p>
        </w:tc>
      </w:tr>
      <w:tr w:rsidR="003042EB">
        <w:trPr>
          <w:trHeight w:hRule="exact" w:val="192"/>
        </w:trPr>
        <w:tc>
          <w:tcPr>
            <w:tcW w:w="902" w:type="dxa"/>
            <w:shd w:val="clear" w:color="auto" w:fill="FFFFFF"/>
          </w:tcPr>
          <w:p w:rsidR="003042EB" w:rsidRDefault="00CE56FB">
            <w:pPr>
              <w:pStyle w:val="Gvdemetni0"/>
              <w:framePr w:w="8150" w:wrap="notBeside" w:vAnchor="text" w:hAnchor="text" w:y="1"/>
              <w:shd w:val="clear" w:color="auto" w:fill="auto"/>
              <w:spacing w:line="170" w:lineRule="exact"/>
              <w:ind w:left="320"/>
            </w:pPr>
            <w:r>
              <w:rPr>
                <w:rStyle w:val="Gvdemetni1"/>
              </w:rPr>
              <w:t>“</w:t>
            </w:r>
          </w:p>
        </w:tc>
        <w:tc>
          <w:tcPr>
            <w:tcW w:w="898" w:type="dxa"/>
            <w:shd w:val="clear" w:color="auto" w:fill="FFFFFF"/>
          </w:tcPr>
          <w:p w:rsidR="003042EB" w:rsidRDefault="00CE56FB">
            <w:pPr>
              <w:pStyle w:val="Gvdemetni0"/>
              <w:framePr w:w="8150" w:wrap="notBeside" w:vAnchor="text" w:hAnchor="text" w:y="1"/>
              <w:shd w:val="clear" w:color="auto" w:fill="auto"/>
              <w:spacing w:line="170" w:lineRule="exact"/>
              <w:ind w:left="220"/>
            </w:pPr>
            <w:r>
              <w:rPr>
                <w:rStyle w:val="Gvdemetni1"/>
              </w:rPr>
              <w:t>115786</w:t>
            </w:r>
          </w:p>
        </w:tc>
        <w:tc>
          <w:tcPr>
            <w:tcW w:w="778"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13</w:t>
            </w:r>
          </w:p>
        </w:tc>
        <w:tc>
          <w:tcPr>
            <w:tcW w:w="1037"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30.02418</w:t>
            </w:r>
          </w:p>
        </w:tc>
        <w:tc>
          <w:tcPr>
            <w:tcW w:w="1162"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1"/>
              </w:rPr>
              <w:t>Ham Arazi</w:t>
            </w:r>
          </w:p>
        </w:tc>
        <w:tc>
          <w:tcPr>
            <w:tcW w:w="854" w:type="dxa"/>
            <w:shd w:val="clear" w:color="auto" w:fill="FFFFFF"/>
          </w:tcPr>
          <w:p w:rsidR="003042EB" w:rsidRDefault="00CE56FB">
            <w:pPr>
              <w:pStyle w:val="Gvdemetni0"/>
              <w:framePr w:w="8150" w:wrap="notBeside" w:vAnchor="text" w:hAnchor="text" w:y="1"/>
              <w:shd w:val="clear" w:color="auto" w:fill="auto"/>
              <w:spacing w:line="170" w:lineRule="exact"/>
              <w:ind w:left="160"/>
            </w:pPr>
            <w:r>
              <w:rPr>
                <w:rStyle w:val="Gvdemetni1"/>
              </w:rPr>
              <w:t>Tam</w:t>
            </w:r>
          </w:p>
        </w:tc>
        <w:tc>
          <w:tcPr>
            <w:tcW w:w="1464"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270.217.62 TL</w:t>
            </w:r>
          </w:p>
        </w:tc>
        <w:tc>
          <w:tcPr>
            <w:tcW w:w="1056" w:type="dxa"/>
            <w:shd w:val="clear" w:color="auto" w:fill="FFFFFF"/>
          </w:tcPr>
          <w:p w:rsidR="003042EB" w:rsidRDefault="00CE56FB">
            <w:pPr>
              <w:pStyle w:val="Gvdemetni0"/>
              <w:framePr w:w="8150" w:wrap="notBeside" w:vAnchor="text" w:hAnchor="text" w:y="1"/>
              <w:shd w:val="clear" w:color="auto" w:fill="auto"/>
              <w:spacing w:line="170" w:lineRule="exact"/>
              <w:ind w:left="140"/>
            </w:pPr>
            <w:r>
              <w:rPr>
                <w:rStyle w:val="Gvdemetni1"/>
              </w:rPr>
              <w:t>11.30-11.35</w:t>
            </w:r>
          </w:p>
        </w:tc>
      </w:tr>
    </w:tbl>
    <w:p w:rsidR="003042EB" w:rsidRDefault="003042EB">
      <w:pPr>
        <w:rPr>
          <w:sz w:val="2"/>
          <w:szCs w:val="2"/>
        </w:rPr>
      </w:pPr>
    </w:p>
    <w:p w:rsidR="003042EB" w:rsidRDefault="00CE56FB">
      <w:pPr>
        <w:pStyle w:val="Gvdemetni0"/>
        <w:shd w:val="clear" w:color="auto" w:fill="auto"/>
        <w:spacing w:line="192" w:lineRule="exact"/>
        <w:ind w:left="40" w:right="160" w:firstLine="240"/>
      </w:pPr>
      <w:r>
        <w:t xml:space="preserve">Taşınmazlar Ankara İli Gölbaşı ilçesi </w:t>
      </w:r>
      <w:proofErr w:type="spellStart"/>
      <w:r>
        <w:t>Günalan</w:t>
      </w:r>
      <w:proofErr w:type="spellEnd"/>
      <w:r>
        <w:t xml:space="preserve"> Köyünde, üzerinde yapı olmayan tarla vasfında, köy yerleşim alanına yaklaşık 3 Km, Konya yoluna 5 KM. Gölbaşı merkezine 36 Km. mesafededir.</w:t>
      </w:r>
    </w:p>
    <w:p w:rsidR="003042EB" w:rsidRDefault="00CE56FB">
      <w:pPr>
        <w:pStyle w:val="Gvdemetni0"/>
        <w:numPr>
          <w:ilvl w:val="0"/>
          <w:numId w:val="3"/>
        </w:numPr>
        <w:shd w:val="clear" w:color="auto" w:fill="auto"/>
        <w:tabs>
          <w:tab w:val="left" w:pos="909"/>
        </w:tabs>
        <w:spacing w:line="192" w:lineRule="exact"/>
        <w:ind w:left="40" w:right="160" w:firstLine="240"/>
      </w:pPr>
      <w:r>
        <w:t>Satış</w:t>
      </w:r>
      <w:r>
        <w:tab/>
      </w:r>
      <w:proofErr w:type="gramStart"/>
      <w:r>
        <w:t>08/10/2012</w:t>
      </w:r>
      <w:proofErr w:type="gramEnd"/>
      <w:r>
        <w:t xml:space="preserve"> günü saat 11.00’den 11.35’e kadar Ankara/Gölbaşı Adliyesi İcra Müdürlüğü önünde yapılacaktır. Bu artırmada tahmin edilen kıymetin % 60’ rüçhanlı alacaklılar varsa, alacakları toplamını ve satış masraflarını geçmek kaydı ile ihale olunur. Böyle bir </w:t>
      </w:r>
      <w:proofErr w:type="gramStart"/>
      <w:r>
        <w:t>bedelle.alıcı</w:t>
      </w:r>
      <w:proofErr w:type="gramEnd"/>
      <w:r>
        <w:t xml:space="preserve"> çıkmazsa en çok » ' artıranın taahhüdü baki kalmak kaydı ile 18/10/2012 günü aynı yer ve saatte 2.artırmaya çıkarıla</w:t>
      </w:r>
      <w:r>
        <w:softHyphen/>
        <w:t>caktır.Bu artırmada da bu miktar elde edilmemişse taşınmaz en çok artıranın taahhüdü saklı kalmak üzere artırma ilanında belirtilen süre sonunda en çok artırana ihale edilecektir.Şu kadarki, artırma bedelinin malın tahmin edilen kıymetinin % 40’ bulması ve satış isteyenin alacağına rüçhanı olan alacakların toplamından fazla olması ve bundan başka,paraya çevrilme ve paylaştırma masraflarını geçmesi lazımdır.Böyle fazla bedelle alıcı çıkmazsa satış talebi düşecektir.</w:t>
      </w:r>
    </w:p>
    <w:p w:rsidR="003042EB" w:rsidRDefault="00CE56FB">
      <w:pPr>
        <w:pStyle w:val="Gvdemetni0"/>
        <w:numPr>
          <w:ilvl w:val="0"/>
          <w:numId w:val="3"/>
        </w:numPr>
        <w:shd w:val="clear" w:color="auto" w:fill="auto"/>
        <w:tabs>
          <w:tab w:val="left" w:pos="1307"/>
        </w:tabs>
        <w:spacing w:line="192" w:lineRule="exact"/>
        <w:ind w:left="40" w:right="480" w:firstLine="240"/>
        <w:jc w:val="both"/>
      </w:pPr>
      <w:r>
        <w:t>Artırmaya</w:t>
      </w:r>
      <w:r>
        <w:tab/>
        <w:t xml:space="preserve">iştirak edeceklerin, tahmin edilen kıymetin % 20’si oranında nakit </w:t>
      </w:r>
      <w:proofErr w:type="gramStart"/>
      <w:r>
        <w:t>yada</w:t>
      </w:r>
      <w:proofErr w:type="gramEnd"/>
      <w:r>
        <w:t xml:space="preserve"> bu miktar ka</w:t>
      </w:r>
      <w:r>
        <w:softHyphen/>
        <w:t xml:space="preserve">dar milli bankalardan birinin teminat mektubunu vermeleri lazımdır. Satış peşin para ile olup alıcının isteği ve satış memurunun uygun görmesi halinde 1 O (on) günü geçmemek kaydı ile uygun bir süre verilebilir. İhalenin feshi talep edilmiş olsa bile satış bedelini verilen süre içinde nakden ödenmesi zorunludur. </w:t>
      </w:r>
      <w:proofErr w:type="gramStart"/>
      <w:r>
        <w:t>Tellaliye</w:t>
      </w:r>
      <w:proofErr w:type="gramEnd"/>
      <w:r>
        <w:t>, Resmi, ihale pulu, tapu harç ve masrafları, % (18) KDV, alıcıya aittir. Birikmiş vergiler satış bedelinden ödenir.</w:t>
      </w:r>
    </w:p>
    <w:p w:rsidR="003042EB" w:rsidRDefault="00CE56FB">
      <w:pPr>
        <w:pStyle w:val="Gvdemetni0"/>
        <w:numPr>
          <w:ilvl w:val="0"/>
          <w:numId w:val="3"/>
        </w:numPr>
        <w:shd w:val="clear" w:color="auto" w:fill="auto"/>
        <w:tabs>
          <w:tab w:val="left" w:pos="981"/>
        </w:tabs>
        <w:spacing w:line="192" w:lineRule="exact"/>
        <w:ind w:left="40" w:right="480" w:firstLine="240"/>
        <w:jc w:val="both"/>
      </w:pPr>
      <w:r>
        <w:t>İpotek</w:t>
      </w:r>
      <w:r>
        <w:tab/>
        <w:t xml:space="preserve">sahibi alacaklılarla diğer ilgililerin (*) bu taşınmaz üzerindeki haklarını hususiyle faiz ve masrafa dair olan iddialarını dayanağı belgeler ile </w:t>
      </w:r>
      <w:proofErr w:type="spellStart"/>
      <w:r>
        <w:t>onbeş</w:t>
      </w:r>
      <w:proofErr w:type="spellEnd"/>
      <w:r>
        <w:t xml:space="preserve"> gün içinde dairemize bildirmeleri lazımdır. Aksi takdirde hakları tapu sicili ile sabit olmadıkça paylaşmadan hariç bırakılacaklardır.</w:t>
      </w:r>
    </w:p>
    <w:p w:rsidR="003042EB" w:rsidRDefault="00CE56FB">
      <w:pPr>
        <w:pStyle w:val="Gvdemetni0"/>
        <w:numPr>
          <w:ilvl w:val="0"/>
          <w:numId w:val="3"/>
        </w:numPr>
        <w:shd w:val="clear" w:color="auto" w:fill="auto"/>
        <w:tabs>
          <w:tab w:val="left" w:pos="1091"/>
        </w:tabs>
        <w:spacing w:line="192" w:lineRule="exact"/>
        <w:ind w:left="40" w:right="480" w:firstLine="240"/>
        <w:jc w:val="both"/>
      </w:pPr>
      <w:r>
        <w:t>İhaleye</w:t>
      </w:r>
      <w:r>
        <w:tab/>
        <w:t xml:space="preserve">katılıp daha sonra ihale bedelini yatırmamak suretiyle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
    <w:p w:rsidR="003042EB" w:rsidRDefault="00CE56FB">
      <w:pPr>
        <w:pStyle w:val="Gvdemetni0"/>
        <w:numPr>
          <w:ilvl w:val="0"/>
          <w:numId w:val="3"/>
        </w:numPr>
        <w:shd w:val="clear" w:color="auto" w:fill="auto"/>
        <w:tabs>
          <w:tab w:val="left" w:pos="1341"/>
        </w:tabs>
        <w:spacing w:line="192" w:lineRule="exact"/>
        <w:ind w:left="40" w:right="160" w:firstLine="240"/>
      </w:pPr>
      <w:r>
        <w:t>Şartname,</w:t>
      </w:r>
      <w:r>
        <w:tab/>
        <w:t>ilan tarihinden itibaren herkesin görebilmesi için dairede açık olup masrafı verildiği takdirde isteyen alıcıya bir örneği gönderilebilir.</w:t>
      </w:r>
    </w:p>
    <w:p w:rsidR="003042EB" w:rsidRDefault="00CE56FB">
      <w:pPr>
        <w:pStyle w:val="Gvdemetni0"/>
        <w:numPr>
          <w:ilvl w:val="0"/>
          <w:numId w:val="3"/>
        </w:numPr>
        <w:shd w:val="clear" w:color="auto" w:fill="auto"/>
        <w:tabs>
          <w:tab w:val="left" w:pos="1000"/>
        </w:tabs>
        <w:spacing w:line="192" w:lineRule="exact"/>
        <w:ind w:left="40" w:right="480" w:firstLine="240"/>
        <w:jc w:val="both"/>
      </w:pPr>
      <w:r>
        <w:t>Satışa</w:t>
      </w:r>
      <w:r>
        <w:tab/>
        <w:t>iştirak edenlerin şartnameyi görmüş ve içeriğini kabul etmiş sayılacakları, başkaca bil</w:t>
      </w:r>
      <w:r>
        <w:softHyphen/>
        <w:t xml:space="preserve">gi almak isteyenlerin 2009/1818 </w:t>
      </w:r>
      <w:proofErr w:type="spellStart"/>
      <w:r>
        <w:t>TaL</w:t>
      </w:r>
      <w:proofErr w:type="spellEnd"/>
      <w:r>
        <w:t xml:space="preserve">. </w:t>
      </w:r>
      <w:proofErr w:type="gramStart"/>
      <w:r>
        <w:t>sayılı</w:t>
      </w:r>
      <w:proofErr w:type="gramEnd"/>
      <w:r>
        <w:t xml:space="preserve"> dosya numarası ile Müdürlüğümüze başvurmaları ilan olunur.</w:t>
      </w:r>
    </w:p>
    <w:p w:rsidR="003042EB" w:rsidRDefault="00CE56FB">
      <w:pPr>
        <w:pStyle w:val="Gvdemetni0"/>
        <w:shd w:val="clear" w:color="auto" w:fill="auto"/>
        <w:spacing w:line="192" w:lineRule="exact"/>
        <w:ind w:left="40" w:firstLine="240"/>
      </w:pPr>
      <w:proofErr w:type="gramStart"/>
      <w:r>
        <w:t>(</w:t>
      </w:r>
      <w:proofErr w:type="gramEnd"/>
      <w:r>
        <w:t>İİK. 126)</w:t>
      </w:r>
    </w:p>
    <w:p w:rsidR="003042EB" w:rsidRDefault="00CE56FB">
      <w:pPr>
        <w:pStyle w:val="Gvdemetni0"/>
        <w:shd w:val="clear" w:color="auto" w:fill="auto"/>
        <w:spacing w:line="192" w:lineRule="exact"/>
        <w:ind w:left="40" w:firstLine="240"/>
      </w:pPr>
      <w:r>
        <w:t xml:space="preserve">(*) İlgililer tabirine irtifak hakkı sahipleri de </w:t>
      </w:r>
      <w:proofErr w:type="gramStart"/>
      <w:r>
        <w:t>dahildir</w:t>
      </w:r>
      <w:proofErr w:type="gramEnd"/>
      <w:r>
        <w:t>. Yönetmelik Örnek No</w:t>
      </w:r>
      <w:proofErr w:type="gramStart"/>
      <w:r>
        <w:t>.:</w:t>
      </w:r>
      <w:proofErr w:type="gramEnd"/>
      <w:r>
        <w:t xml:space="preserve"> 27</w:t>
      </w:r>
    </w:p>
    <w:sectPr w:rsidR="003042EB" w:rsidSect="003042EB">
      <w:type w:val="continuous"/>
      <w:pgSz w:w="11909" w:h="16838"/>
      <w:pgMar w:top="2680" w:right="1432" w:bottom="3059" w:left="170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A3C" w:rsidRDefault="00EA7A3C" w:rsidP="003042EB">
      <w:r>
        <w:separator/>
      </w:r>
    </w:p>
  </w:endnote>
  <w:endnote w:type="continuationSeparator" w:id="0">
    <w:p w:rsidR="00EA7A3C" w:rsidRDefault="00EA7A3C" w:rsidP="003042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A3C" w:rsidRDefault="00EA7A3C"/>
  </w:footnote>
  <w:footnote w:type="continuationSeparator" w:id="0">
    <w:p w:rsidR="00EA7A3C" w:rsidRDefault="00EA7A3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998"/>
    <w:multiLevelType w:val="multilevel"/>
    <w:tmpl w:val="35CAF6F6"/>
    <w:lvl w:ilvl="0">
      <w:start w:val="1"/>
      <w:numFmt w:val="bullet"/>
      <w:lvlText w:val="•"/>
      <w:lvlJc w:val="left"/>
      <w:rPr>
        <w:rFonts w:ascii="Arial" w:eastAsia="Arial" w:hAnsi="Arial" w:cs="Arial"/>
        <w:b/>
        <w:bCs/>
        <w:i w:val="0"/>
        <w:iCs w:val="0"/>
        <w:smallCaps w:val="0"/>
        <w:strike w:val="0"/>
        <w:color w:val="000000"/>
        <w:spacing w:val="0"/>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9D35AD"/>
    <w:multiLevelType w:val="multilevel"/>
    <w:tmpl w:val="CB6EE1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573D57"/>
    <w:multiLevelType w:val="multilevel"/>
    <w:tmpl w:val="EE561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042EB"/>
    <w:rsid w:val="0017550D"/>
    <w:rsid w:val="003042EB"/>
    <w:rsid w:val="00C85B3B"/>
    <w:rsid w:val="00CE56FB"/>
    <w:rsid w:val="00CF7722"/>
    <w:rsid w:val="00EA7A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42E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042EB"/>
    <w:rPr>
      <w:color w:val="000080"/>
      <w:u w:val="single"/>
    </w:rPr>
  </w:style>
  <w:style w:type="character" w:customStyle="1" w:styleId="Gvdemetni2Exact">
    <w:name w:val="Gövde metni (2) Exact"/>
    <w:basedOn w:val="VarsaylanParagrafYazTipi"/>
    <w:rsid w:val="003042EB"/>
    <w:rPr>
      <w:rFonts w:ascii="Arial" w:eastAsia="Arial" w:hAnsi="Arial" w:cs="Arial"/>
      <w:b/>
      <w:bCs/>
      <w:i w:val="0"/>
      <w:iCs w:val="0"/>
      <w:smallCaps w:val="0"/>
      <w:strike w:val="0"/>
      <w:spacing w:val="-4"/>
      <w:sz w:val="10"/>
      <w:szCs w:val="10"/>
      <w:u w:val="none"/>
    </w:rPr>
  </w:style>
  <w:style w:type="character" w:customStyle="1" w:styleId="GvdemetniExact">
    <w:name w:val="Gövde metni Exact"/>
    <w:basedOn w:val="VarsaylanParagrafYazTipi"/>
    <w:rsid w:val="003042EB"/>
    <w:rPr>
      <w:rFonts w:ascii="Arial" w:eastAsia="Arial" w:hAnsi="Arial" w:cs="Arial"/>
      <w:b w:val="0"/>
      <w:bCs w:val="0"/>
      <w:i w:val="0"/>
      <w:iCs w:val="0"/>
      <w:smallCaps w:val="0"/>
      <w:strike w:val="0"/>
      <w:spacing w:val="3"/>
      <w:sz w:val="16"/>
      <w:szCs w:val="16"/>
      <w:u w:val="none"/>
    </w:rPr>
  </w:style>
  <w:style w:type="character" w:customStyle="1" w:styleId="Gvdemetni2">
    <w:name w:val="Gövde metni (2)_"/>
    <w:basedOn w:val="VarsaylanParagrafYazTipi"/>
    <w:link w:val="Gvdemetni20"/>
    <w:rsid w:val="003042EB"/>
    <w:rPr>
      <w:rFonts w:ascii="Arial" w:eastAsia="Arial" w:hAnsi="Arial" w:cs="Arial"/>
      <w:b/>
      <w:bCs/>
      <w:i w:val="0"/>
      <w:iCs w:val="0"/>
      <w:smallCaps w:val="0"/>
      <w:strike w:val="0"/>
      <w:sz w:val="10"/>
      <w:szCs w:val="10"/>
      <w:u w:val="none"/>
    </w:rPr>
  </w:style>
  <w:style w:type="character" w:customStyle="1" w:styleId="Gvdemetni3">
    <w:name w:val="Gövde metni (3)_"/>
    <w:basedOn w:val="VarsaylanParagrafYazTipi"/>
    <w:link w:val="Gvdemetni30"/>
    <w:rsid w:val="003042EB"/>
    <w:rPr>
      <w:rFonts w:ascii="Arial" w:eastAsia="Arial" w:hAnsi="Arial" w:cs="Arial"/>
      <w:b w:val="0"/>
      <w:bCs w:val="0"/>
      <w:i w:val="0"/>
      <w:iCs w:val="0"/>
      <w:smallCaps w:val="0"/>
      <w:strike w:val="0"/>
      <w:sz w:val="22"/>
      <w:szCs w:val="22"/>
      <w:u w:val="none"/>
    </w:rPr>
  </w:style>
  <w:style w:type="character" w:customStyle="1" w:styleId="Balk1">
    <w:name w:val="Başlık #1_"/>
    <w:basedOn w:val="VarsaylanParagrafYazTipi"/>
    <w:link w:val="Balk10"/>
    <w:rsid w:val="003042EB"/>
    <w:rPr>
      <w:rFonts w:ascii="Arial" w:eastAsia="Arial" w:hAnsi="Arial" w:cs="Arial"/>
      <w:b/>
      <w:bCs/>
      <w:i w:val="0"/>
      <w:iCs w:val="0"/>
      <w:smallCaps w:val="0"/>
      <w:strike w:val="0"/>
      <w:spacing w:val="-40"/>
      <w:sz w:val="45"/>
      <w:szCs w:val="45"/>
      <w:u w:val="none"/>
    </w:rPr>
  </w:style>
  <w:style w:type="character" w:customStyle="1" w:styleId="Gvdemetni4">
    <w:name w:val="Gövde metni (4)_"/>
    <w:basedOn w:val="VarsaylanParagrafYazTipi"/>
    <w:link w:val="Gvdemetni40"/>
    <w:rsid w:val="003042EB"/>
    <w:rPr>
      <w:rFonts w:ascii="Palatino Linotype" w:eastAsia="Palatino Linotype" w:hAnsi="Palatino Linotype" w:cs="Palatino Linotype"/>
      <w:b w:val="0"/>
      <w:bCs w:val="0"/>
      <w:i w:val="0"/>
      <w:iCs w:val="0"/>
      <w:smallCaps w:val="0"/>
      <w:strike w:val="0"/>
      <w:sz w:val="8"/>
      <w:szCs w:val="8"/>
      <w:u w:val="none"/>
    </w:rPr>
  </w:style>
  <w:style w:type="character" w:customStyle="1" w:styleId="Gvdemetni5">
    <w:name w:val="Gövde metni (5)_"/>
    <w:basedOn w:val="VarsaylanParagrafYazTipi"/>
    <w:link w:val="Gvdemetni50"/>
    <w:rsid w:val="003042EB"/>
    <w:rPr>
      <w:rFonts w:ascii="Arial" w:eastAsia="Arial" w:hAnsi="Arial" w:cs="Arial"/>
      <w:b w:val="0"/>
      <w:bCs w:val="0"/>
      <w:i w:val="0"/>
      <w:iCs w:val="0"/>
      <w:smallCaps w:val="0"/>
      <w:strike w:val="0"/>
      <w:sz w:val="10"/>
      <w:szCs w:val="10"/>
      <w:u w:val="none"/>
    </w:rPr>
  </w:style>
  <w:style w:type="character" w:customStyle="1" w:styleId="Gvdemetni5CenturyGothic45pttalik">
    <w:name w:val="Gövde metni (5) + Century Gothic;4;5 pt;İtalik"/>
    <w:basedOn w:val="Gvdemetni5"/>
    <w:rsid w:val="003042EB"/>
    <w:rPr>
      <w:rFonts w:ascii="Century Gothic" w:eastAsia="Century Gothic" w:hAnsi="Century Gothic" w:cs="Century Gothic"/>
      <w:i/>
      <w:iCs/>
      <w:color w:val="000000"/>
      <w:spacing w:val="0"/>
      <w:w w:val="100"/>
      <w:position w:val="0"/>
      <w:sz w:val="9"/>
      <w:szCs w:val="9"/>
      <w:lang w:val="tr-TR"/>
    </w:rPr>
  </w:style>
  <w:style w:type="character" w:customStyle="1" w:styleId="Balk3">
    <w:name w:val="Başlık #3_"/>
    <w:basedOn w:val="VarsaylanParagrafYazTipi"/>
    <w:link w:val="Balk30"/>
    <w:rsid w:val="003042EB"/>
    <w:rPr>
      <w:rFonts w:ascii="Arial" w:eastAsia="Arial" w:hAnsi="Arial" w:cs="Arial"/>
      <w:b/>
      <w:bCs/>
      <w:i w:val="0"/>
      <w:iCs w:val="0"/>
      <w:smallCaps w:val="0"/>
      <w:strike w:val="0"/>
      <w:w w:val="150"/>
      <w:u w:val="none"/>
    </w:rPr>
  </w:style>
  <w:style w:type="character" w:customStyle="1" w:styleId="Balk31">
    <w:name w:val="Başlık #3"/>
    <w:basedOn w:val="Balk3"/>
    <w:rsid w:val="003042EB"/>
    <w:rPr>
      <w:color w:val="FFFFFF"/>
      <w:spacing w:val="0"/>
      <w:position w:val="0"/>
      <w:sz w:val="24"/>
      <w:szCs w:val="24"/>
      <w:lang w:val="tr-TR"/>
    </w:rPr>
  </w:style>
  <w:style w:type="character" w:customStyle="1" w:styleId="Gvdemetni">
    <w:name w:val="Gövde metni_"/>
    <w:basedOn w:val="VarsaylanParagrafYazTipi"/>
    <w:link w:val="Gvdemetni0"/>
    <w:rsid w:val="003042EB"/>
    <w:rPr>
      <w:rFonts w:ascii="Arial" w:eastAsia="Arial" w:hAnsi="Arial" w:cs="Arial"/>
      <w:b w:val="0"/>
      <w:bCs w:val="0"/>
      <w:i w:val="0"/>
      <w:iCs w:val="0"/>
      <w:smallCaps w:val="0"/>
      <w:strike w:val="0"/>
      <w:sz w:val="17"/>
      <w:szCs w:val="17"/>
      <w:u w:val="none"/>
    </w:rPr>
  </w:style>
  <w:style w:type="character" w:customStyle="1" w:styleId="GvdemetniKaln">
    <w:name w:val="Gövde metni + Kalın"/>
    <w:basedOn w:val="Gvdemetni"/>
    <w:rsid w:val="003042EB"/>
    <w:rPr>
      <w:b/>
      <w:bCs/>
      <w:color w:val="000000"/>
      <w:spacing w:val="0"/>
      <w:w w:val="100"/>
      <w:position w:val="0"/>
      <w:lang w:val="tr-TR"/>
    </w:rPr>
  </w:style>
  <w:style w:type="character" w:customStyle="1" w:styleId="Gvdemetni1">
    <w:name w:val="Gövde metni"/>
    <w:basedOn w:val="Gvdemetni"/>
    <w:rsid w:val="003042EB"/>
    <w:rPr>
      <w:color w:val="000000"/>
      <w:spacing w:val="0"/>
      <w:w w:val="100"/>
      <w:position w:val="0"/>
      <w:lang w:val="tr-TR"/>
    </w:rPr>
  </w:style>
  <w:style w:type="character" w:customStyle="1" w:styleId="Tabloyazs2">
    <w:name w:val="Tablo yazısı (2)_"/>
    <w:basedOn w:val="VarsaylanParagrafYazTipi"/>
    <w:link w:val="Tabloyazs20"/>
    <w:rsid w:val="003042EB"/>
    <w:rPr>
      <w:rFonts w:ascii="Arial" w:eastAsia="Arial" w:hAnsi="Arial" w:cs="Arial"/>
      <w:b/>
      <w:bCs/>
      <w:i w:val="0"/>
      <w:iCs w:val="0"/>
      <w:smallCaps w:val="0"/>
      <w:strike w:val="0"/>
      <w:sz w:val="17"/>
      <w:szCs w:val="17"/>
      <w:u w:val="none"/>
    </w:rPr>
  </w:style>
  <w:style w:type="character" w:customStyle="1" w:styleId="Tabloyazs">
    <w:name w:val="Tablo yazısı_"/>
    <w:basedOn w:val="VarsaylanParagrafYazTipi"/>
    <w:link w:val="Tabloyazs0"/>
    <w:rsid w:val="003042EB"/>
    <w:rPr>
      <w:rFonts w:ascii="Arial" w:eastAsia="Arial" w:hAnsi="Arial" w:cs="Arial"/>
      <w:b w:val="0"/>
      <w:bCs w:val="0"/>
      <w:i w:val="0"/>
      <w:iCs w:val="0"/>
      <w:smallCaps w:val="0"/>
      <w:strike w:val="0"/>
      <w:sz w:val="17"/>
      <w:szCs w:val="17"/>
      <w:u w:val="none"/>
    </w:rPr>
  </w:style>
  <w:style w:type="character" w:customStyle="1" w:styleId="Gvdemetni2PalatinoLinotype45ptKalnDeil">
    <w:name w:val="Gövde metni (2) + Palatino Linotype;4;5 pt;Kalın Değil"/>
    <w:basedOn w:val="Gvdemetni2"/>
    <w:rsid w:val="003042EB"/>
    <w:rPr>
      <w:rFonts w:ascii="Palatino Linotype" w:eastAsia="Palatino Linotype" w:hAnsi="Palatino Linotype" w:cs="Palatino Linotype"/>
      <w:b/>
      <w:bCs/>
      <w:color w:val="000000"/>
      <w:spacing w:val="0"/>
      <w:w w:val="100"/>
      <w:position w:val="0"/>
      <w:sz w:val="9"/>
      <w:szCs w:val="9"/>
      <w:lang w:val="tr-TR"/>
    </w:rPr>
  </w:style>
  <w:style w:type="character" w:customStyle="1" w:styleId="Balk2">
    <w:name w:val="Başlık #2_"/>
    <w:basedOn w:val="VarsaylanParagrafYazTipi"/>
    <w:link w:val="Balk20"/>
    <w:rsid w:val="003042EB"/>
    <w:rPr>
      <w:rFonts w:ascii="Arial" w:eastAsia="Arial" w:hAnsi="Arial" w:cs="Arial"/>
      <w:b/>
      <w:bCs/>
      <w:i w:val="0"/>
      <w:iCs w:val="0"/>
      <w:smallCaps w:val="0"/>
      <w:strike w:val="0"/>
      <w:spacing w:val="-30"/>
      <w:sz w:val="44"/>
      <w:szCs w:val="44"/>
      <w:u w:val="none"/>
    </w:rPr>
  </w:style>
  <w:style w:type="character" w:customStyle="1" w:styleId="Gvdemetni6">
    <w:name w:val="Gövde metni (6)_"/>
    <w:basedOn w:val="VarsaylanParagrafYazTipi"/>
    <w:link w:val="Gvdemetni60"/>
    <w:rsid w:val="003042EB"/>
    <w:rPr>
      <w:rFonts w:ascii="Arial" w:eastAsia="Arial" w:hAnsi="Arial" w:cs="Arial"/>
      <w:b w:val="0"/>
      <w:bCs w:val="0"/>
      <w:i/>
      <w:iCs/>
      <w:smallCaps w:val="0"/>
      <w:strike w:val="0"/>
      <w:sz w:val="12"/>
      <w:szCs w:val="12"/>
      <w:u w:val="none"/>
    </w:rPr>
  </w:style>
  <w:style w:type="character" w:customStyle="1" w:styleId="Gvdemetni7">
    <w:name w:val="Gövde metni (7)_"/>
    <w:basedOn w:val="VarsaylanParagrafYazTipi"/>
    <w:link w:val="Gvdemetni70"/>
    <w:rsid w:val="003042EB"/>
    <w:rPr>
      <w:rFonts w:ascii="Arial" w:eastAsia="Arial" w:hAnsi="Arial" w:cs="Arial"/>
      <w:b w:val="0"/>
      <w:bCs w:val="0"/>
      <w:i/>
      <w:iCs/>
      <w:smallCaps w:val="0"/>
      <w:strike w:val="0"/>
      <w:spacing w:val="-10"/>
      <w:sz w:val="13"/>
      <w:szCs w:val="13"/>
      <w:u w:val="none"/>
    </w:rPr>
  </w:style>
  <w:style w:type="paragraph" w:customStyle="1" w:styleId="Gvdemetni20">
    <w:name w:val="Gövde metni (2)"/>
    <w:basedOn w:val="Normal"/>
    <w:link w:val="Gvdemetni2"/>
    <w:rsid w:val="003042EB"/>
    <w:pPr>
      <w:shd w:val="clear" w:color="auto" w:fill="FFFFFF"/>
      <w:spacing w:line="158" w:lineRule="exact"/>
    </w:pPr>
    <w:rPr>
      <w:rFonts w:ascii="Arial" w:eastAsia="Arial" w:hAnsi="Arial" w:cs="Arial"/>
      <w:b/>
      <w:bCs/>
      <w:sz w:val="10"/>
      <w:szCs w:val="10"/>
    </w:rPr>
  </w:style>
  <w:style w:type="paragraph" w:customStyle="1" w:styleId="Gvdemetni0">
    <w:name w:val="Gövde metni"/>
    <w:basedOn w:val="Normal"/>
    <w:link w:val="Gvdemetni"/>
    <w:rsid w:val="003042EB"/>
    <w:pPr>
      <w:shd w:val="clear" w:color="auto" w:fill="FFFFFF"/>
      <w:spacing w:line="0" w:lineRule="atLeast"/>
    </w:pPr>
    <w:rPr>
      <w:rFonts w:ascii="Arial" w:eastAsia="Arial" w:hAnsi="Arial" w:cs="Arial"/>
      <w:sz w:val="17"/>
      <w:szCs w:val="17"/>
    </w:rPr>
  </w:style>
  <w:style w:type="paragraph" w:customStyle="1" w:styleId="Gvdemetni30">
    <w:name w:val="Gövde metni (3)"/>
    <w:basedOn w:val="Normal"/>
    <w:link w:val="Gvdemetni3"/>
    <w:rsid w:val="003042EB"/>
    <w:pPr>
      <w:shd w:val="clear" w:color="auto" w:fill="FFFFFF"/>
      <w:spacing w:after="420" w:line="326" w:lineRule="exact"/>
      <w:jc w:val="center"/>
    </w:pPr>
    <w:rPr>
      <w:rFonts w:ascii="Arial" w:eastAsia="Arial" w:hAnsi="Arial" w:cs="Arial"/>
      <w:sz w:val="22"/>
      <w:szCs w:val="22"/>
    </w:rPr>
  </w:style>
  <w:style w:type="paragraph" w:customStyle="1" w:styleId="Balk10">
    <w:name w:val="Başlık #1"/>
    <w:basedOn w:val="Normal"/>
    <w:link w:val="Balk1"/>
    <w:rsid w:val="003042EB"/>
    <w:pPr>
      <w:shd w:val="clear" w:color="auto" w:fill="FFFFFF"/>
      <w:spacing w:before="420" w:line="0" w:lineRule="atLeast"/>
      <w:outlineLvl w:val="0"/>
    </w:pPr>
    <w:rPr>
      <w:rFonts w:ascii="Arial" w:eastAsia="Arial" w:hAnsi="Arial" w:cs="Arial"/>
      <w:b/>
      <w:bCs/>
      <w:spacing w:val="-40"/>
      <w:sz w:val="45"/>
      <w:szCs w:val="45"/>
    </w:rPr>
  </w:style>
  <w:style w:type="paragraph" w:customStyle="1" w:styleId="Gvdemetni40">
    <w:name w:val="Gövde metni (4)"/>
    <w:basedOn w:val="Normal"/>
    <w:link w:val="Gvdemetni4"/>
    <w:rsid w:val="003042EB"/>
    <w:pPr>
      <w:shd w:val="clear" w:color="auto" w:fill="FFFFFF"/>
      <w:spacing w:line="0" w:lineRule="atLeast"/>
    </w:pPr>
    <w:rPr>
      <w:rFonts w:ascii="Palatino Linotype" w:eastAsia="Palatino Linotype" w:hAnsi="Palatino Linotype" w:cs="Palatino Linotype"/>
      <w:sz w:val="8"/>
      <w:szCs w:val="8"/>
    </w:rPr>
  </w:style>
  <w:style w:type="paragraph" w:customStyle="1" w:styleId="Gvdemetni50">
    <w:name w:val="Gövde metni (5)"/>
    <w:basedOn w:val="Normal"/>
    <w:link w:val="Gvdemetni5"/>
    <w:rsid w:val="003042EB"/>
    <w:pPr>
      <w:shd w:val="clear" w:color="auto" w:fill="FFFFFF"/>
      <w:spacing w:line="0" w:lineRule="atLeast"/>
    </w:pPr>
    <w:rPr>
      <w:rFonts w:ascii="Arial" w:eastAsia="Arial" w:hAnsi="Arial" w:cs="Arial"/>
      <w:sz w:val="10"/>
      <w:szCs w:val="10"/>
    </w:rPr>
  </w:style>
  <w:style w:type="paragraph" w:customStyle="1" w:styleId="Balk30">
    <w:name w:val="Başlık #3"/>
    <w:basedOn w:val="Normal"/>
    <w:link w:val="Balk3"/>
    <w:rsid w:val="003042EB"/>
    <w:pPr>
      <w:shd w:val="clear" w:color="auto" w:fill="FFFFFF"/>
      <w:spacing w:after="180" w:line="293" w:lineRule="exact"/>
      <w:jc w:val="center"/>
      <w:outlineLvl w:val="2"/>
    </w:pPr>
    <w:rPr>
      <w:rFonts w:ascii="Arial" w:eastAsia="Arial" w:hAnsi="Arial" w:cs="Arial"/>
      <w:b/>
      <w:bCs/>
      <w:w w:val="150"/>
    </w:rPr>
  </w:style>
  <w:style w:type="paragraph" w:customStyle="1" w:styleId="Tabloyazs20">
    <w:name w:val="Tablo yazısı (2)"/>
    <w:basedOn w:val="Normal"/>
    <w:link w:val="Tabloyazs2"/>
    <w:rsid w:val="003042EB"/>
    <w:pPr>
      <w:shd w:val="clear" w:color="auto" w:fill="FFFFFF"/>
      <w:spacing w:line="0" w:lineRule="atLeast"/>
    </w:pPr>
    <w:rPr>
      <w:rFonts w:ascii="Arial" w:eastAsia="Arial" w:hAnsi="Arial" w:cs="Arial"/>
      <w:b/>
      <w:bCs/>
      <w:sz w:val="17"/>
      <w:szCs w:val="17"/>
    </w:rPr>
  </w:style>
  <w:style w:type="paragraph" w:customStyle="1" w:styleId="Tabloyazs0">
    <w:name w:val="Tablo yazısı"/>
    <w:basedOn w:val="Normal"/>
    <w:link w:val="Tabloyazs"/>
    <w:rsid w:val="003042EB"/>
    <w:pPr>
      <w:shd w:val="clear" w:color="auto" w:fill="FFFFFF"/>
      <w:spacing w:line="0" w:lineRule="atLeast"/>
    </w:pPr>
    <w:rPr>
      <w:rFonts w:ascii="Arial" w:eastAsia="Arial" w:hAnsi="Arial" w:cs="Arial"/>
      <w:sz w:val="17"/>
      <w:szCs w:val="17"/>
    </w:rPr>
  </w:style>
  <w:style w:type="paragraph" w:customStyle="1" w:styleId="Balk20">
    <w:name w:val="Başlık #2"/>
    <w:basedOn w:val="Normal"/>
    <w:link w:val="Balk2"/>
    <w:rsid w:val="003042EB"/>
    <w:pPr>
      <w:shd w:val="clear" w:color="auto" w:fill="FFFFFF"/>
      <w:spacing w:before="360" w:line="0" w:lineRule="atLeast"/>
      <w:outlineLvl w:val="1"/>
    </w:pPr>
    <w:rPr>
      <w:rFonts w:ascii="Arial" w:eastAsia="Arial" w:hAnsi="Arial" w:cs="Arial"/>
      <w:b/>
      <w:bCs/>
      <w:spacing w:val="-30"/>
      <w:sz w:val="44"/>
      <w:szCs w:val="44"/>
    </w:rPr>
  </w:style>
  <w:style w:type="paragraph" w:customStyle="1" w:styleId="Gvdemetni60">
    <w:name w:val="Gövde metni (6)"/>
    <w:basedOn w:val="Normal"/>
    <w:link w:val="Gvdemetni6"/>
    <w:rsid w:val="003042EB"/>
    <w:pPr>
      <w:shd w:val="clear" w:color="auto" w:fill="FFFFFF"/>
      <w:spacing w:line="0" w:lineRule="atLeast"/>
      <w:jc w:val="center"/>
    </w:pPr>
    <w:rPr>
      <w:rFonts w:ascii="Arial" w:eastAsia="Arial" w:hAnsi="Arial" w:cs="Arial"/>
      <w:i/>
      <w:iCs/>
      <w:sz w:val="12"/>
      <w:szCs w:val="12"/>
    </w:rPr>
  </w:style>
  <w:style w:type="paragraph" w:customStyle="1" w:styleId="Gvdemetni70">
    <w:name w:val="Gövde metni (7)"/>
    <w:basedOn w:val="Normal"/>
    <w:link w:val="Gvdemetni7"/>
    <w:rsid w:val="003042EB"/>
    <w:pPr>
      <w:shd w:val="clear" w:color="auto" w:fill="FFFFFF"/>
      <w:spacing w:line="0" w:lineRule="atLeast"/>
      <w:jc w:val="center"/>
    </w:pPr>
    <w:rPr>
      <w:rFonts w:ascii="Arial" w:eastAsia="Arial" w:hAnsi="Arial" w:cs="Arial"/>
      <w:i/>
      <w:iCs/>
      <w:spacing w:val="-10"/>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2012-07-31T09:02:00Z</dcterms:created>
  <dcterms:modified xsi:type="dcterms:W3CDTF">2012-07-31T09:02:00Z</dcterms:modified>
</cp:coreProperties>
</file>