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66E" w:rsidRDefault="0028466E" w:rsidP="0028466E">
      <w:pPr>
        <w:pStyle w:val="Gvdemetni20"/>
        <w:shd w:val="clear" w:color="auto" w:fill="auto"/>
        <w:spacing w:line="200" w:lineRule="exact"/>
        <w:ind w:right="40"/>
      </w:pPr>
      <w:r>
        <w:t>T.C. SAKARYA 1. SULH HUKUK MAHKEMESİ İZALEİ SATIŞ MEMURLUĞİ</w:t>
      </w:r>
    </w:p>
    <w:p w:rsidR="0028466E" w:rsidRDefault="0028466E" w:rsidP="0028466E">
      <w:pPr>
        <w:pStyle w:val="Gvdemetni20"/>
        <w:shd w:val="clear" w:color="auto" w:fill="auto"/>
        <w:spacing w:line="200" w:lineRule="exact"/>
        <w:ind w:right="40"/>
      </w:pPr>
      <w:r>
        <w:t>Sayı: 2012/5 Satış</w:t>
      </w:r>
    </w:p>
    <w:p w:rsidR="0028466E" w:rsidRDefault="0028466E" w:rsidP="0028466E">
      <w:pPr>
        <w:pStyle w:val="Gvdemetni0"/>
        <w:shd w:val="clear" w:color="auto" w:fill="auto"/>
        <w:spacing w:before="0"/>
        <w:ind w:left="2200" w:right="1820"/>
      </w:pPr>
      <w:r>
        <w:t xml:space="preserve">İZALEİ ŞUYU SATIŞ MEMURLUĞU </w:t>
      </w:r>
      <w:r>
        <w:rPr>
          <w:rStyle w:val="GvdemetniKaln"/>
        </w:rPr>
        <w:t>GAYRİMENKUL SATIŞ İLANI</w:t>
      </w:r>
    </w:p>
    <w:p w:rsidR="0028466E" w:rsidRDefault="0028466E" w:rsidP="0028466E">
      <w:pPr>
        <w:pStyle w:val="Gvdemetni0"/>
        <w:shd w:val="clear" w:color="auto" w:fill="auto"/>
        <w:spacing w:before="0"/>
        <w:ind w:left="120" w:right="40" w:firstLine="440"/>
        <w:jc w:val="both"/>
      </w:pPr>
      <w:r>
        <w:t xml:space="preserve">Mahkemece satışına karar verilen gayrimenkullerin satış ilanı ilgililerin adreslerine gönderilmiş olup, adreslerde tebliğ yapılamaması veya adresleri bilinmeyenler içinde iş bu satı; ilanı </w:t>
      </w:r>
      <w:proofErr w:type="spellStart"/>
      <w:r>
        <w:t>llanen</w:t>
      </w:r>
      <w:proofErr w:type="spellEnd"/>
      <w:r>
        <w:t xml:space="preserve"> Tebligat yerine kaim olacağı ilan olunur.</w:t>
      </w:r>
    </w:p>
    <w:p w:rsidR="0028466E" w:rsidRDefault="0028466E" w:rsidP="0028466E">
      <w:pPr>
        <w:pStyle w:val="Gvdemetni30"/>
        <w:shd w:val="clear" w:color="auto" w:fill="auto"/>
        <w:ind w:left="120" w:firstLine="440"/>
      </w:pPr>
      <w:r>
        <w:t xml:space="preserve">Satılmasına karar verilen </w:t>
      </w:r>
      <w:proofErr w:type="spellStart"/>
      <w:r>
        <w:t>gayrimenkulun</w:t>
      </w:r>
      <w:proofErr w:type="spellEnd"/>
      <w:r>
        <w:t xml:space="preserve"> cinsi, kıymeti, </w:t>
      </w:r>
      <w:proofErr w:type="gramStart"/>
      <w:r>
        <w:t>adedi,evsafı</w:t>
      </w:r>
      <w:proofErr w:type="gramEnd"/>
      <w:r>
        <w:t xml:space="preserve"> kıymeti.</w:t>
      </w:r>
    </w:p>
    <w:p w:rsidR="0028466E" w:rsidRDefault="0028466E" w:rsidP="0028466E">
      <w:pPr>
        <w:pStyle w:val="Gvdemetni0"/>
        <w:shd w:val="clear" w:color="auto" w:fill="auto"/>
        <w:spacing w:before="0" w:line="168" w:lineRule="exact"/>
        <w:ind w:left="120" w:right="40" w:firstLine="440"/>
        <w:jc w:val="both"/>
      </w:pPr>
      <w:r>
        <w:t xml:space="preserve">Sakarya ili Adapazarı İlçesi Ozanlar Mah. 1794 ada, 3 parselde kayıtlı 8.965,71 m2 miktarlı </w:t>
      </w:r>
      <w:proofErr w:type="spellStart"/>
      <w:r>
        <w:t>kayden</w:t>
      </w:r>
      <w:proofErr w:type="spellEnd"/>
      <w:r>
        <w:t xml:space="preserve"> arsa vasıflı taşınmazın toplam değeri 1.344856,50 TL. </w:t>
      </w:r>
      <w:proofErr w:type="gramStart"/>
      <w:r>
        <w:t>muhammen</w:t>
      </w:r>
      <w:proofErr w:type="gramEnd"/>
      <w:r>
        <w:t xml:space="preserve"> kıymetinde olduğu,</w:t>
      </w:r>
    </w:p>
    <w:p w:rsidR="0028466E" w:rsidRDefault="0028466E" w:rsidP="0028466E">
      <w:pPr>
        <w:pStyle w:val="Gvdemetni30"/>
        <w:shd w:val="clear" w:color="auto" w:fill="auto"/>
        <w:spacing w:line="158" w:lineRule="exact"/>
        <w:ind w:left="120" w:firstLine="440"/>
      </w:pPr>
      <w:r>
        <w:t xml:space="preserve">Satış </w:t>
      </w:r>
      <w:proofErr w:type="gramStart"/>
      <w:r>
        <w:t>Şartlan :</w:t>
      </w:r>
      <w:proofErr w:type="gramEnd"/>
    </w:p>
    <w:p w:rsidR="0028466E" w:rsidRDefault="0028466E" w:rsidP="0028466E">
      <w:pPr>
        <w:pStyle w:val="Gvdemetni0"/>
        <w:numPr>
          <w:ilvl w:val="0"/>
          <w:numId w:val="1"/>
        </w:numPr>
        <w:shd w:val="clear" w:color="auto" w:fill="auto"/>
        <w:tabs>
          <w:tab w:val="left" w:pos="768"/>
        </w:tabs>
        <w:spacing w:before="0" w:line="158" w:lineRule="exact"/>
        <w:ind w:left="120" w:right="40" w:firstLine="440"/>
        <w:jc w:val="both"/>
      </w:pPr>
      <w:proofErr w:type="gramStart"/>
      <w:r>
        <w:t>t</w:t>
      </w:r>
      <w:proofErr w:type="gramEnd"/>
      <w:r>
        <w:t xml:space="preserve">. Satış, 20/07/2012 </w:t>
      </w:r>
      <w:r>
        <w:rPr>
          <w:rStyle w:val="GvdemetniKaln"/>
        </w:rPr>
        <w:t xml:space="preserve">(Cuma) </w:t>
      </w:r>
      <w:r>
        <w:t xml:space="preserve">günü; saat 14,00-14,10 a kadar Sakarya 1. Sulh Hukuk Mahkemesi </w:t>
      </w:r>
      <w:proofErr w:type="spellStart"/>
      <w:r>
        <w:t>Duıuşma</w:t>
      </w:r>
      <w:proofErr w:type="spellEnd"/>
      <w:r>
        <w:t xml:space="preserve"> salonunda açık artırma suretiyle yapılacaktır. Bu artırmada tahmin edilen kıymetin % 60’tnı ve rüçhanlı atacaklar varsa alacakları mecmuunu ve satış masraflarını geçmek şartı ile ihale olunur. Böyle bir bedelle alıcı çıkmazsa en çok artıranın taahhüdü baki kalmak şartıyla taşınmaz </w:t>
      </w:r>
      <w:proofErr w:type="gramStart"/>
      <w:r>
        <w:t>30/07/2012</w:t>
      </w:r>
      <w:proofErr w:type="gramEnd"/>
      <w:r>
        <w:t xml:space="preserve"> </w:t>
      </w:r>
      <w:r>
        <w:rPr>
          <w:rStyle w:val="GvdemetniKaln"/>
        </w:rPr>
        <w:t xml:space="preserve">(Pazartesi) günü </w:t>
      </w:r>
      <w:r>
        <w:t xml:space="preserve">aynı yerde ve saatlerde ikinci artırmaya </w:t>
      </w:r>
      <w:proofErr w:type="spellStart"/>
      <w:r>
        <w:t>çıkanlacaktır</w:t>
      </w:r>
      <w:proofErr w:type="spellEnd"/>
      <w:r>
        <w:t xml:space="preserve">. </w:t>
      </w:r>
      <w:proofErr w:type="gramStart"/>
      <w:r>
        <w:rPr>
          <w:rStyle w:val="GvdemetniKaln"/>
        </w:rPr>
        <w:t xml:space="preserve">Bu </w:t>
      </w:r>
      <w:r>
        <w:t xml:space="preserve">artırmada da bu miktar </w:t>
      </w:r>
      <w:r>
        <w:rPr>
          <w:rStyle w:val="GvdemetniKaln"/>
        </w:rPr>
        <w:t xml:space="preserve">elde </w:t>
      </w:r>
      <w:r>
        <w:t xml:space="preserve">edilememişse gayrimenkul en çok artıranın taahhüdü saklı kalmak üzere artırma ilanında gösterilen müddet sonunda en çok artırana ihale edilecektir Şu kadar ki artırma bedelinin malın tahmin edilen kıymetinin % 40’ </w:t>
      </w:r>
      <w:proofErr w:type="spellStart"/>
      <w:r>
        <w:t>tnı</w:t>
      </w:r>
      <w:proofErr w:type="spellEnd"/>
      <w:r>
        <w:t xml:space="preserve"> bulması ve satış isteyenin alacağına rüçhanı olan alacakların toplamından fazla olması ve bundan başka, paraya çevirme ve paylaştırma masraflarını geçmesi lazımdır. </w:t>
      </w:r>
      <w:proofErr w:type="gramEnd"/>
      <w:r>
        <w:t>Böyle bir bedelle alıcı çıkmazsa satış talebi düşecektir.</w:t>
      </w:r>
    </w:p>
    <w:p w:rsidR="0028466E" w:rsidRDefault="0028466E" w:rsidP="0028466E">
      <w:pPr>
        <w:pStyle w:val="Gvdemetni0"/>
        <w:numPr>
          <w:ilvl w:val="0"/>
          <w:numId w:val="1"/>
        </w:numPr>
        <w:shd w:val="clear" w:color="auto" w:fill="auto"/>
        <w:tabs>
          <w:tab w:val="left" w:pos="1363"/>
        </w:tabs>
        <w:spacing w:before="0" w:after="116" w:line="158" w:lineRule="exact"/>
        <w:ind w:left="120" w:right="40" w:firstLine="440"/>
        <w:jc w:val="both"/>
      </w:pPr>
      <w:r>
        <w:t>Artırmaya</w:t>
      </w:r>
      <w:r>
        <w:tab/>
        <w:t xml:space="preserve">iştirak edeceklerin, tahmin edilen kıymetlerin % </w:t>
      </w:r>
      <w:r>
        <w:rPr>
          <w:rStyle w:val="GvdemetniKaln"/>
        </w:rPr>
        <w:t xml:space="preserve">20’sl </w:t>
      </w:r>
      <w:r>
        <w:t>nispetinde nakdi “TL.”sı veya bu miktar kadar Milli bir Bankanın teminat mektubunu vermeleri lazımdır. Satış peşin para iledir. Alıcı istediğinde 10 günü geçmemek üzere mehil verilebilir</w:t>
      </w:r>
      <w:proofErr w:type="gramStart"/>
      <w:r>
        <w:t>.,</w:t>
      </w:r>
      <w:proofErr w:type="gramEnd"/>
      <w:r>
        <w:t xml:space="preserve"> ihale damga pulu, tapu harç </w:t>
      </w:r>
      <w:proofErr w:type="spellStart"/>
      <w:r>
        <w:t>va</w:t>
      </w:r>
      <w:proofErr w:type="spellEnd"/>
      <w:r>
        <w:t xml:space="preserve"> masrafları ile % 18 KDV alıcıya aittir. Birikmiş vergiler, Belediye </w:t>
      </w:r>
      <w:proofErr w:type="gramStart"/>
      <w:r>
        <w:t>tellaliye</w:t>
      </w:r>
      <w:proofErr w:type="gramEnd"/>
      <w:r>
        <w:t xml:space="preserve"> bedeli satış bedelinden</w:t>
      </w:r>
    </w:p>
    <w:p w:rsidR="0028466E" w:rsidRDefault="0028466E" w:rsidP="0028466E">
      <w:pPr>
        <w:pStyle w:val="Gvdemetni0"/>
        <w:numPr>
          <w:ilvl w:val="0"/>
          <w:numId w:val="1"/>
        </w:numPr>
        <w:shd w:val="clear" w:color="auto" w:fill="auto"/>
        <w:tabs>
          <w:tab w:val="left" w:pos="1176"/>
        </w:tabs>
        <w:spacing w:before="0"/>
        <w:ind w:left="120" w:right="40" w:firstLine="440"/>
        <w:jc w:val="both"/>
      </w:pPr>
      <w:proofErr w:type="spellStart"/>
      <w:r>
        <w:t>lpotek</w:t>
      </w:r>
      <w:proofErr w:type="spellEnd"/>
      <w:r>
        <w:tab/>
        <w:t>sahibi alacaklılarla diğer ilgililerin {*</w:t>
      </w:r>
      <w:proofErr w:type="gramStart"/>
      <w:r>
        <w:t>)</w:t>
      </w:r>
      <w:proofErr w:type="gramEnd"/>
      <w:r>
        <w:t xml:space="preserve"> bu gayrimenkuller üzerindeki hakların hususiyle faiz ve masrafa dair olan </w:t>
      </w:r>
      <w:proofErr w:type="spellStart"/>
      <w:r>
        <w:t>iddialannı</w:t>
      </w:r>
      <w:proofErr w:type="spellEnd"/>
      <w:r>
        <w:t xml:space="preserve"> dayanağı belgeler ile on beş gün içinde Dairemizi bildirmeleri lazımdır; Aksi takdirde hakları tapu sicili ile sabit olmadıkça paylaşmada </w:t>
      </w:r>
      <w:proofErr w:type="spellStart"/>
      <w:r>
        <w:t>hari</w:t>
      </w:r>
      <w:proofErr w:type="spellEnd"/>
      <w:r>
        <w:t>&lt; bırakılacaklardır.</w:t>
      </w:r>
    </w:p>
    <w:p w:rsidR="0028466E" w:rsidRDefault="0028466E" w:rsidP="0028466E">
      <w:pPr>
        <w:pStyle w:val="Gvdemetni0"/>
        <w:numPr>
          <w:ilvl w:val="0"/>
          <w:numId w:val="1"/>
        </w:numPr>
        <w:shd w:val="clear" w:color="auto" w:fill="auto"/>
        <w:tabs>
          <w:tab w:val="left" w:pos="1210"/>
        </w:tabs>
        <w:spacing w:before="0"/>
        <w:ind w:left="120" w:right="40" w:firstLine="440"/>
        <w:jc w:val="both"/>
      </w:pPr>
      <w:r>
        <w:t>İhaleye</w:t>
      </w:r>
      <w:r>
        <w:tab/>
        <w:t xml:space="preserve">katılıp daha sonra ihale bedelini yatırmamak suretiyle ihalenin feshine sebep olar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w:t>
      </w:r>
      <w:proofErr w:type="spellStart"/>
      <w:r>
        <w:t>temerrü</w:t>
      </w:r>
      <w:proofErr w:type="spellEnd"/>
      <w:r>
        <w:t xml:space="preserve"> faizi ayrıca hükme hacet kalmaksızın Dairemizce tahsil olunacak bu fark, varsa öncelikle </w:t>
      </w:r>
      <w:proofErr w:type="spellStart"/>
      <w:r>
        <w:t>temina</w:t>
      </w:r>
      <w:proofErr w:type="spellEnd"/>
      <w:r>
        <w:t xml:space="preserve"> bedelinden alınacaktır.</w:t>
      </w:r>
    </w:p>
    <w:p w:rsidR="0028466E" w:rsidRDefault="0028466E" w:rsidP="0028466E">
      <w:pPr>
        <w:pStyle w:val="Gvdemetni0"/>
        <w:numPr>
          <w:ilvl w:val="0"/>
          <w:numId w:val="1"/>
        </w:numPr>
        <w:shd w:val="clear" w:color="auto" w:fill="auto"/>
        <w:tabs>
          <w:tab w:val="left" w:pos="1430"/>
        </w:tabs>
        <w:spacing w:before="0"/>
        <w:ind w:left="120" w:right="40" w:firstLine="440"/>
        <w:jc w:val="both"/>
      </w:pPr>
      <w:r>
        <w:t>Şartname,</w:t>
      </w:r>
      <w:r>
        <w:tab/>
        <w:t>ilan tarihinden itibaren herkesin görebilmesi için Dairede açık olup, masrafı verildiği takdirde isteyen alıcıya bir örneği gönderilebilir,</w:t>
      </w:r>
    </w:p>
    <w:p w:rsidR="0028466E" w:rsidRDefault="0028466E" w:rsidP="0028466E">
      <w:pPr>
        <w:pStyle w:val="Gvdemetni0"/>
        <w:numPr>
          <w:ilvl w:val="0"/>
          <w:numId w:val="1"/>
        </w:numPr>
        <w:shd w:val="clear" w:color="auto" w:fill="auto"/>
        <w:tabs>
          <w:tab w:val="left" w:pos="1166"/>
        </w:tabs>
        <w:spacing w:before="0"/>
        <w:ind w:left="120" w:right="40" w:firstLine="440"/>
        <w:jc w:val="both"/>
      </w:pPr>
      <w:proofErr w:type="spellStart"/>
      <w:r>
        <w:t>Sattşa</w:t>
      </w:r>
      <w:proofErr w:type="spellEnd"/>
      <w:r>
        <w:tab/>
        <w:t xml:space="preserve">iştirak edenlerin, şartnameyi görmüş ve münderecatını kabul etmiş sayılacaktan, başkaca bilgi almak isteyenlerin </w:t>
      </w:r>
      <w:r>
        <w:rPr>
          <w:rStyle w:val="GvdemetniKaln"/>
        </w:rPr>
        <w:t xml:space="preserve">2012/5 </w:t>
      </w:r>
      <w:r>
        <w:t>Satış sayılı dosya numarası ile Müdürlüğümüze başvurmaları ilan olunur.</w:t>
      </w:r>
    </w:p>
    <w:p w:rsidR="0028466E" w:rsidRDefault="0028466E" w:rsidP="0028466E">
      <w:pPr>
        <w:pStyle w:val="Gvdemetni30"/>
        <w:shd w:val="clear" w:color="auto" w:fill="auto"/>
        <w:tabs>
          <w:tab w:val="left" w:pos="2784"/>
        </w:tabs>
        <w:spacing w:line="163" w:lineRule="exact"/>
        <w:ind w:left="120"/>
        <w:jc w:val="left"/>
      </w:pPr>
      <w:r>
        <w:t>&lt;</w:t>
      </w:r>
      <w:proofErr w:type="spellStart"/>
      <w:r>
        <w:t>İc</w:t>
      </w:r>
      <w:proofErr w:type="spellEnd"/>
      <w:r>
        <w:t xml:space="preserve">. </w:t>
      </w:r>
      <w:proofErr w:type="spellStart"/>
      <w:r>
        <w:t>İf</w:t>
      </w:r>
      <w:proofErr w:type="spellEnd"/>
      <w:r>
        <w:t>. K. 126)</w:t>
      </w:r>
      <w:r>
        <w:tab/>
      </w:r>
      <w:proofErr w:type="gramStart"/>
      <w:r>
        <w:t>30/05/2012</w:t>
      </w:r>
      <w:proofErr w:type="gramEnd"/>
    </w:p>
    <w:p w:rsidR="0028466E" w:rsidRDefault="0028466E" w:rsidP="0028466E">
      <w:pPr>
        <w:pStyle w:val="Gvdemetni0"/>
        <w:shd w:val="clear" w:color="auto" w:fill="auto"/>
        <w:tabs>
          <w:tab w:val="left" w:pos="4795"/>
        </w:tabs>
        <w:spacing w:before="0"/>
        <w:ind w:left="120"/>
      </w:pPr>
      <w:r>
        <w:t xml:space="preserve">{*) İlgililer tabirine irtifak hakkı sahipleri de </w:t>
      </w:r>
      <w:proofErr w:type="gramStart"/>
      <w:r>
        <w:t>dahildir</w:t>
      </w:r>
      <w:proofErr w:type="gramEnd"/>
      <w:r>
        <w:t>.</w:t>
      </w:r>
      <w:r>
        <w:tab/>
      </w:r>
    </w:p>
    <w:p w:rsidR="0028466E" w:rsidRDefault="0028466E" w:rsidP="0028466E">
      <w:pPr>
        <w:pStyle w:val="Balk20"/>
        <w:keepNext/>
        <w:keepLines/>
        <w:shd w:val="clear" w:color="auto" w:fill="auto"/>
        <w:spacing w:line="160" w:lineRule="exact"/>
        <w:ind w:right="40"/>
      </w:pPr>
      <w:bookmarkStart w:id="0" w:name="bookmark1"/>
      <w:r>
        <w:t>Basın No; 38541</w:t>
      </w:r>
      <w:bookmarkEnd w:id="0"/>
    </w:p>
    <w:p w:rsidR="0028466E" w:rsidRDefault="0028466E" w:rsidP="0028466E">
      <w:pPr>
        <w:pStyle w:val="Gvdemetni30"/>
        <w:shd w:val="clear" w:color="auto" w:fill="auto"/>
        <w:tabs>
          <w:tab w:val="left" w:pos="4838"/>
        </w:tabs>
        <w:spacing w:after="98" w:line="140" w:lineRule="exact"/>
        <w:ind w:left="120"/>
        <w:jc w:val="left"/>
      </w:pPr>
      <w:r>
        <w:t>Yönetmelik Örnek No; 27</w:t>
      </w:r>
    </w:p>
    <w:p w:rsidR="0028466E" w:rsidRDefault="0028466E" w:rsidP="0028466E">
      <w:pPr>
        <w:pStyle w:val="Gvdemetni30"/>
        <w:shd w:val="clear" w:color="auto" w:fill="auto"/>
        <w:tabs>
          <w:tab w:val="left" w:pos="4838"/>
        </w:tabs>
        <w:spacing w:after="98" w:line="140" w:lineRule="exact"/>
        <w:jc w:val="left"/>
      </w:pPr>
      <w:r>
        <w:t>BN:38541</w:t>
      </w:r>
    </w:p>
    <w:p w:rsidR="0028466E" w:rsidRDefault="0028466E" w:rsidP="0028466E">
      <w:pPr>
        <w:pStyle w:val="Gvdemetni30"/>
        <w:shd w:val="clear" w:color="auto" w:fill="auto"/>
        <w:tabs>
          <w:tab w:val="left" w:pos="4838"/>
        </w:tabs>
        <w:spacing w:after="98" w:line="140" w:lineRule="exact"/>
        <w:ind w:left="120"/>
        <w:jc w:val="left"/>
      </w:pPr>
    </w:p>
    <w:p w:rsidR="0028466E" w:rsidRDefault="0028466E" w:rsidP="0028466E">
      <w:pPr>
        <w:pStyle w:val="Gvdemetni30"/>
        <w:shd w:val="clear" w:color="auto" w:fill="auto"/>
        <w:tabs>
          <w:tab w:val="left" w:pos="4838"/>
        </w:tabs>
        <w:spacing w:after="98" w:line="140" w:lineRule="exact"/>
        <w:ind w:left="120"/>
        <w:jc w:val="left"/>
      </w:pPr>
      <w:r>
        <w:tab/>
      </w:r>
    </w:p>
    <w:p w:rsidR="0000355D" w:rsidRDefault="0000355D"/>
    <w:sectPr w:rsidR="000035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7196A"/>
    <w:multiLevelType w:val="multilevel"/>
    <w:tmpl w:val="BD5ACE4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28466E"/>
    <w:rsid w:val="0000355D"/>
    <w:rsid w:val="0028466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8466E"/>
    <w:rPr>
      <w:color w:val="000080"/>
      <w:u w:val="single"/>
    </w:rPr>
  </w:style>
  <w:style w:type="character" w:customStyle="1" w:styleId="Gvdemetni2">
    <w:name w:val="Gövde metni (2)_"/>
    <w:basedOn w:val="VarsaylanParagrafYazTipi"/>
    <w:link w:val="Gvdemetni20"/>
    <w:rsid w:val="0028466E"/>
    <w:rPr>
      <w:rFonts w:ascii="Trebuchet MS" w:eastAsia="Trebuchet MS" w:hAnsi="Trebuchet MS" w:cs="Trebuchet MS"/>
      <w:b/>
      <w:bCs/>
      <w:sz w:val="20"/>
      <w:szCs w:val="20"/>
      <w:shd w:val="clear" w:color="auto" w:fill="FFFFFF"/>
    </w:rPr>
  </w:style>
  <w:style w:type="character" w:customStyle="1" w:styleId="Balk1">
    <w:name w:val="Başlık #1_"/>
    <w:basedOn w:val="VarsaylanParagrafYazTipi"/>
    <w:link w:val="Balk10"/>
    <w:rsid w:val="0028466E"/>
    <w:rPr>
      <w:spacing w:val="120"/>
      <w:sz w:val="39"/>
      <w:szCs w:val="39"/>
      <w:shd w:val="clear" w:color="auto" w:fill="FFFFFF"/>
    </w:rPr>
  </w:style>
  <w:style w:type="character" w:customStyle="1" w:styleId="Balk165pt0ptbolukbraklyor">
    <w:name w:val="Başlık #1 + 6;5 pt;0 pt boşluk bırakılıyor"/>
    <w:basedOn w:val="Balk1"/>
    <w:rsid w:val="0028466E"/>
    <w:rPr>
      <w:rFonts w:ascii="Courier New" w:eastAsia="Courier New" w:hAnsi="Courier New" w:cs="Courier New"/>
      <w:color w:val="000000"/>
      <w:spacing w:val="0"/>
      <w:w w:val="100"/>
      <w:position w:val="0"/>
      <w:sz w:val="13"/>
      <w:szCs w:val="13"/>
      <w:lang w:val="tr-TR"/>
    </w:rPr>
  </w:style>
  <w:style w:type="character" w:customStyle="1" w:styleId="Gvdemetni">
    <w:name w:val="Gövde metni_"/>
    <w:basedOn w:val="VarsaylanParagrafYazTipi"/>
    <w:link w:val="Gvdemetni0"/>
    <w:rsid w:val="0028466E"/>
    <w:rPr>
      <w:rFonts w:ascii="Trebuchet MS" w:eastAsia="Trebuchet MS" w:hAnsi="Trebuchet MS" w:cs="Trebuchet MS"/>
      <w:sz w:val="14"/>
      <w:szCs w:val="14"/>
      <w:shd w:val="clear" w:color="auto" w:fill="FFFFFF"/>
    </w:rPr>
  </w:style>
  <w:style w:type="character" w:customStyle="1" w:styleId="GvdemetniKaln">
    <w:name w:val="Gövde metni + Kalın"/>
    <w:basedOn w:val="Gvdemetni"/>
    <w:rsid w:val="0028466E"/>
    <w:rPr>
      <w:b/>
      <w:bCs/>
      <w:color w:val="000000"/>
      <w:spacing w:val="0"/>
      <w:w w:val="100"/>
      <w:position w:val="0"/>
      <w:lang w:val="tr-TR"/>
    </w:rPr>
  </w:style>
  <w:style w:type="character" w:customStyle="1" w:styleId="Gvdemetni3">
    <w:name w:val="Gövde metni (3)_"/>
    <w:basedOn w:val="VarsaylanParagrafYazTipi"/>
    <w:link w:val="Gvdemetni30"/>
    <w:rsid w:val="0028466E"/>
    <w:rPr>
      <w:rFonts w:ascii="Trebuchet MS" w:eastAsia="Trebuchet MS" w:hAnsi="Trebuchet MS" w:cs="Trebuchet MS"/>
      <w:b/>
      <w:bCs/>
      <w:sz w:val="14"/>
      <w:szCs w:val="14"/>
      <w:shd w:val="clear" w:color="auto" w:fill="FFFFFF"/>
    </w:rPr>
  </w:style>
  <w:style w:type="character" w:customStyle="1" w:styleId="Balk2">
    <w:name w:val="Başlık #2_"/>
    <w:basedOn w:val="VarsaylanParagrafYazTipi"/>
    <w:link w:val="Balk20"/>
    <w:rsid w:val="0028466E"/>
    <w:rPr>
      <w:rFonts w:ascii="Trebuchet MS" w:eastAsia="Trebuchet MS" w:hAnsi="Trebuchet MS" w:cs="Trebuchet MS"/>
      <w:b/>
      <w:bCs/>
      <w:sz w:val="16"/>
      <w:szCs w:val="16"/>
      <w:shd w:val="clear" w:color="auto" w:fill="FFFFFF"/>
    </w:rPr>
  </w:style>
  <w:style w:type="character" w:customStyle="1" w:styleId="Balk3">
    <w:name w:val="Başlık #3_"/>
    <w:basedOn w:val="VarsaylanParagrafYazTipi"/>
    <w:link w:val="Balk30"/>
    <w:rsid w:val="0028466E"/>
    <w:rPr>
      <w:rFonts w:ascii="Trebuchet MS" w:eastAsia="Trebuchet MS" w:hAnsi="Trebuchet MS" w:cs="Trebuchet MS"/>
      <w:b/>
      <w:bCs/>
      <w:sz w:val="16"/>
      <w:szCs w:val="16"/>
      <w:shd w:val="clear" w:color="auto" w:fill="FFFFFF"/>
      <w:lang w:val="en-US"/>
    </w:rPr>
  </w:style>
  <w:style w:type="paragraph" w:customStyle="1" w:styleId="Gvdemetni20">
    <w:name w:val="Gövde metni (2)"/>
    <w:basedOn w:val="Normal"/>
    <w:link w:val="Gvdemetni2"/>
    <w:rsid w:val="0028466E"/>
    <w:pPr>
      <w:widowControl w:val="0"/>
      <w:shd w:val="clear" w:color="auto" w:fill="FFFFFF"/>
      <w:spacing w:after="0" w:line="0" w:lineRule="atLeast"/>
      <w:jc w:val="center"/>
    </w:pPr>
    <w:rPr>
      <w:rFonts w:ascii="Trebuchet MS" w:eastAsia="Trebuchet MS" w:hAnsi="Trebuchet MS" w:cs="Trebuchet MS"/>
      <w:b/>
      <w:bCs/>
      <w:sz w:val="20"/>
      <w:szCs w:val="20"/>
    </w:rPr>
  </w:style>
  <w:style w:type="paragraph" w:customStyle="1" w:styleId="Balk10">
    <w:name w:val="Başlık #1"/>
    <w:basedOn w:val="Normal"/>
    <w:link w:val="Balk1"/>
    <w:rsid w:val="0028466E"/>
    <w:pPr>
      <w:widowControl w:val="0"/>
      <w:shd w:val="clear" w:color="auto" w:fill="FFFFFF"/>
      <w:spacing w:after="120" w:line="0" w:lineRule="atLeast"/>
      <w:outlineLvl w:val="0"/>
    </w:pPr>
    <w:rPr>
      <w:spacing w:val="120"/>
      <w:sz w:val="39"/>
      <w:szCs w:val="39"/>
    </w:rPr>
  </w:style>
  <w:style w:type="paragraph" w:customStyle="1" w:styleId="Gvdemetni0">
    <w:name w:val="Gövde metni"/>
    <w:basedOn w:val="Normal"/>
    <w:link w:val="Gvdemetni"/>
    <w:rsid w:val="0028466E"/>
    <w:pPr>
      <w:widowControl w:val="0"/>
      <w:shd w:val="clear" w:color="auto" w:fill="FFFFFF"/>
      <w:spacing w:before="120" w:after="0" w:line="163" w:lineRule="exact"/>
    </w:pPr>
    <w:rPr>
      <w:rFonts w:ascii="Trebuchet MS" w:eastAsia="Trebuchet MS" w:hAnsi="Trebuchet MS" w:cs="Trebuchet MS"/>
      <w:sz w:val="14"/>
      <w:szCs w:val="14"/>
    </w:rPr>
  </w:style>
  <w:style w:type="paragraph" w:customStyle="1" w:styleId="Gvdemetni30">
    <w:name w:val="Gövde metni (3)"/>
    <w:basedOn w:val="Normal"/>
    <w:link w:val="Gvdemetni3"/>
    <w:rsid w:val="0028466E"/>
    <w:pPr>
      <w:widowControl w:val="0"/>
      <w:shd w:val="clear" w:color="auto" w:fill="FFFFFF"/>
      <w:spacing w:after="0" w:line="168" w:lineRule="exact"/>
      <w:jc w:val="both"/>
    </w:pPr>
    <w:rPr>
      <w:rFonts w:ascii="Trebuchet MS" w:eastAsia="Trebuchet MS" w:hAnsi="Trebuchet MS" w:cs="Trebuchet MS"/>
      <w:b/>
      <w:bCs/>
      <w:sz w:val="14"/>
      <w:szCs w:val="14"/>
    </w:rPr>
  </w:style>
  <w:style w:type="paragraph" w:customStyle="1" w:styleId="Balk20">
    <w:name w:val="Başlık #2"/>
    <w:basedOn w:val="Normal"/>
    <w:link w:val="Balk2"/>
    <w:rsid w:val="0028466E"/>
    <w:pPr>
      <w:widowControl w:val="0"/>
      <w:shd w:val="clear" w:color="auto" w:fill="FFFFFF"/>
      <w:spacing w:after="0" w:line="0" w:lineRule="atLeast"/>
      <w:jc w:val="right"/>
      <w:outlineLvl w:val="1"/>
    </w:pPr>
    <w:rPr>
      <w:rFonts w:ascii="Trebuchet MS" w:eastAsia="Trebuchet MS" w:hAnsi="Trebuchet MS" w:cs="Trebuchet MS"/>
      <w:b/>
      <w:bCs/>
      <w:sz w:val="16"/>
      <w:szCs w:val="16"/>
    </w:rPr>
  </w:style>
  <w:style w:type="paragraph" w:customStyle="1" w:styleId="Balk30">
    <w:name w:val="Başlık #3"/>
    <w:basedOn w:val="Normal"/>
    <w:link w:val="Balk3"/>
    <w:rsid w:val="0028466E"/>
    <w:pPr>
      <w:widowControl w:val="0"/>
      <w:shd w:val="clear" w:color="auto" w:fill="FFFFFF"/>
      <w:spacing w:before="120" w:after="1200" w:line="0" w:lineRule="atLeast"/>
      <w:jc w:val="center"/>
      <w:outlineLvl w:val="2"/>
    </w:pPr>
    <w:rPr>
      <w:rFonts w:ascii="Trebuchet MS" w:eastAsia="Trebuchet MS" w:hAnsi="Trebuchet MS" w:cs="Trebuchet MS"/>
      <w:b/>
      <w:bCs/>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2</cp:revision>
  <dcterms:created xsi:type="dcterms:W3CDTF">2012-06-17T13:33:00Z</dcterms:created>
  <dcterms:modified xsi:type="dcterms:W3CDTF">2012-06-17T13:33:00Z</dcterms:modified>
</cp:coreProperties>
</file>