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8" w:rsidRDefault="001D440D">
      <w:pPr>
        <w:pStyle w:val="Gvdemetni20"/>
        <w:framePr w:w="5386" w:h="13902" w:hRule="exact" w:wrap="none" w:vAnchor="page" w:hAnchor="page" w:x="2652" w:y="1804"/>
        <w:shd w:val="clear" w:color="auto" w:fill="auto"/>
        <w:ind w:left="20" w:right="20"/>
      </w:pPr>
      <w:r>
        <w:t>T.C. SOSYAL GÜVENLİK KURUMU BAŞKANLIĞI</w:t>
      </w:r>
      <w:r>
        <w:br/>
        <w:t>İzmir Sosyal Güvenlik II Müdürlüğü</w:t>
      </w:r>
      <w:r>
        <w:br/>
        <w:t>Konak Sosyal Güvenlik Merkezi</w:t>
      </w:r>
      <w:r>
        <w:br/>
        <w:t>GAYRİMENKUL SATIŞ İLANI</w:t>
      </w:r>
    </w:p>
    <w:p w:rsidR="006342C8" w:rsidRDefault="001D440D">
      <w:pPr>
        <w:pStyle w:val="Balk10"/>
        <w:framePr w:w="5386" w:h="13902" w:hRule="exact" w:wrap="none" w:vAnchor="page" w:hAnchor="page" w:x="2652" w:y="1804"/>
        <w:shd w:val="clear" w:color="auto" w:fill="auto"/>
        <w:spacing w:line="190" w:lineRule="exact"/>
        <w:ind w:right="220"/>
      </w:pPr>
      <w:bookmarkStart w:id="0" w:name="bookmark0"/>
      <w:r>
        <w:t xml:space="preserve">Dosya </w:t>
      </w:r>
      <w:proofErr w:type="gramStart"/>
      <w:r>
        <w:t>No : 2008</w:t>
      </w:r>
      <w:proofErr w:type="gramEnd"/>
      <w:r>
        <w:t>/4-GM.Satış</w:t>
      </w:r>
      <w:bookmarkEnd w:id="0"/>
    </w:p>
    <w:p w:rsidR="006342C8" w:rsidRDefault="001D440D">
      <w:pPr>
        <w:pStyle w:val="Gvdemetni30"/>
        <w:framePr w:w="5386" w:h="13902" w:hRule="exact" w:wrap="none" w:vAnchor="page" w:hAnchor="page" w:x="2652" w:y="1804"/>
        <w:shd w:val="clear" w:color="auto" w:fill="auto"/>
        <w:ind w:left="300"/>
      </w:pPr>
      <w:r>
        <w:t xml:space="preserve">Satılmasına karar verilen </w:t>
      </w:r>
      <w:proofErr w:type="spellStart"/>
      <w:proofErr w:type="gramStart"/>
      <w:r>
        <w:t>gayrimenkulun</w:t>
      </w:r>
      <w:proofErr w:type="spellEnd"/>
      <w:r>
        <w:t xml:space="preserve"> ;</w:t>
      </w:r>
      <w:proofErr w:type="gramEnd"/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20" w:right="20" w:firstLine="0"/>
      </w:pPr>
      <w:r>
        <w:rPr>
          <w:rStyle w:val="GvdemetniKaln0ptbolukbraklyor"/>
        </w:rPr>
        <w:t>TAPU KAYDI</w:t>
      </w:r>
      <w:r>
        <w:t>: İzmir ili, Kemalpaşa ilçesi, Yukarı Matı</w:t>
      </w:r>
      <w:proofErr w:type="gramStart"/>
      <w:r>
        <w:t>.,</w:t>
      </w:r>
      <w:proofErr w:type="gramEnd"/>
      <w:r>
        <w:t xml:space="preserve"> </w:t>
      </w:r>
      <w:proofErr w:type="spellStart"/>
      <w:r>
        <w:t>Öteyaka</w:t>
      </w:r>
      <w:proofErr w:type="spellEnd"/>
      <w:r>
        <w:t xml:space="preserve"> Mevkii, 28 Cilt, 2709</w:t>
      </w:r>
      <w:r>
        <w:br/>
        <w:t>sayfa no, 182 ada, 10 parselde kayıtlı 8395,52 m2 yüzölçümlü taşınmazın tamamı</w:t>
      </w:r>
      <w:r>
        <w:br/>
        <w:t>satılacaktır.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20" w:right="20" w:firstLine="0"/>
      </w:pPr>
      <w:r>
        <w:rPr>
          <w:rStyle w:val="GvdemetniKaln0ptbolukbraklyor"/>
        </w:rPr>
        <w:t xml:space="preserve">İMAR </w:t>
      </w:r>
      <w:proofErr w:type="gramStart"/>
      <w:r>
        <w:rPr>
          <w:rStyle w:val="GvdemetniKaln0ptbolukbraklyor"/>
        </w:rPr>
        <w:t xml:space="preserve">DURUMU </w:t>
      </w:r>
      <w:r>
        <w:t>: Depolama</w:t>
      </w:r>
      <w:proofErr w:type="gramEnd"/>
      <w:r>
        <w:t xml:space="preserve"> amaçlı mevzi imar planı olarak onaylı, yapılaşma koşulları</w:t>
      </w:r>
      <w:r>
        <w:br/>
        <w:t xml:space="preserve">E= 0,50, </w:t>
      </w:r>
      <w:proofErr w:type="spellStart"/>
      <w:r>
        <w:t>Hmax</w:t>
      </w:r>
      <w:proofErr w:type="spellEnd"/>
      <w:r>
        <w:t xml:space="preserve">= 12,50 </w:t>
      </w:r>
      <w:proofErr w:type="spellStart"/>
      <w:r>
        <w:t>Mt</w:t>
      </w:r>
      <w:proofErr w:type="spellEnd"/>
      <w:r>
        <w:t>. Ayrık ticari depolama alanı, Ön bahçe mesafesi: 10 m</w:t>
      </w:r>
      <w:proofErr w:type="gramStart"/>
      <w:r>
        <w:t>.,</w:t>
      </w:r>
      <w:proofErr w:type="gramEnd"/>
      <w:r>
        <w:br/>
        <w:t xml:space="preserve">komşu mesafeler: 5m., arka bahçe mesafesi: 5m </w:t>
      </w:r>
      <w:proofErr w:type="spellStart"/>
      <w:r>
        <w:t>dir</w:t>
      </w:r>
      <w:proofErr w:type="spellEnd"/>
      <w:r>
        <w:t>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20" w:right="20" w:firstLine="0"/>
      </w:pPr>
      <w:r>
        <w:rPr>
          <w:rStyle w:val="GvdemetniKaln0ptbolukbraklyor"/>
        </w:rPr>
        <w:t xml:space="preserve">ÖNEMLİ </w:t>
      </w:r>
      <w:proofErr w:type="gramStart"/>
      <w:r>
        <w:rPr>
          <w:rStyle w:val="GvdemetniKaln0ptbolukbraklyor"/>
        </w:rPr>
        <w:t xml:space="preserve">ÖZELLİKLERİ </w:t>
      </w:r>
      <w:r>
        <w:t>: Satışı</w:t>
      </w:r>
      <w:proofErr w:type="gramEnd"/>
      <w:r>
        <w:t xml:space="preserve"> yapılacak taşınmaz Sekiz Eylül Mah. </w:t>
      </w:r>
      <w:proofErr w:type="spellStart"/>
      <w:r>
        <w:t>Öteyaka</w:t>
      </w:r>
      <w:proofErr w:type="spellEnd"/>
      <w:r>
        <w:t xml:space="preserve"> mevkii</w:t>
      </w:r>
      <w:r>
        <w:br/>
        <w:t>No. 35/1 Kemalpaşa İzmir adresindedir. Zemin katta 3960 m2, 1. Katta 3964 m2</w:t>
      </w:r>
      <w:r>
        <w:br/>
        <w:t>olmak üzere toplam 7924 m2 kapalı depo alanı ile 192 m2 alanlı 2 katlı idari bina</w:t>
      </w:r>
      <w:r>
        <w:br/>
        <w:t>bulunmakta ve yapı ruhsatında da yer almaktadır. Ayrıca taşınmazda giriş kontrol binası,</w:t>
      </w:r>
      <w:r>
        <w:br/>
        <w:t>işçi soyunma ve trafo binası, su deposu ve sundurma bulunmaktadır. Taşınmazın etrafı</w:t>
      </w:r>
      <w:r>
        <w:br/>
        <w:t>kısmen duvar, kısmen tel örgü ile çevrilidir. İzmir Ankara asfaltı Yenmiş Kavşağından</w:t>
      </w:r>
      <w:r>
        <w:br/>
        <w:t>sağa dönünce yaklaşık 300 m. içerdedir. Ulaşım sorunu bulunmamaktadır. Su ve elektrik</w:t>
      </w:r>
      <w:r>
        <w:br/>
        <w:t>hizmetleri mevcuttur. Tarımsal depo kullanım amaçlıdır. Yapının kat yüksekliğinin fazla</w:t>
      </w:r>
      <w:r>
        <w:br/>
        <w:t>olması yapıya artı değer katmaktadır.</w:t>
      </w:r>
    </w:p>
    <w:p w:rsidR="006342C8" w:rsidRDefault="001D440D">
      <w:pPr>
        <w:pStyle w:val="Gvdemetni30"/>
        <w:framePr w:w="5386" w:h="13902" w:hRule="exact" w:wrap="none" w:vAnchor="page" w:hAnchor="page" w:x="2652" w:y="1804"/>
        <w:shd w:val="clear" w:color="auto" w:fill="auto"/>
        <w:ind w:left="300"/>
      </w:pPr>
      <w:r>
        <w:t xml:space="preserve">MUHAMMEN BEDELİ: Taşınmazın muhammen bedeli 3.739.577,60 TL </w:t>
      </w:r>
      <w:proofErr w:type="spellStart"/>
      <w:r>
        <w:t>dir</w:t>
      </w:r>
      <w:proofErr w:type="spellEnd"/>
      <w:r>
        <w:t>.</w:t>
      </w:r>
    </w:p>
    <w:p w:rsidR="006342C8" w:rsidRDefault="00B10804">
      <w:pPr>
        <w:pStyle w:val="Gvdemetni30"/>
        <w:framePr w:w="5386" w:h="13902" w:hRule="exact" w:wrap="none" w:vAnchor="page" w:hAnchor="page" w:x="2652" w:y="1804"/>
        <w:shd w:val="clear" w:color="auto" w:fill="auto"/>
        <w:tabs>
          <w:tab w:val="left" w:pos="1589"/>
        </w:tabs>
        <w:ind w:left="300"/>
      </w:pPr>
      <w:r>
        <w:t>Satış Şartlan :</w:t>
      </w:r>
    </w:p>
    <w:p w:rsidR="006342C8" w:rsidRDefault="001D440D">
      <w:pPr>
        <w:pStyle w:val="Gvdemetni30"/>
        <w:framePr w:w="5386" w:h="13902" w:hRule="exact" w:wrap="none" w:vAnchor="page" w:hAnchor="page" w:x="2652" w:y="1804"/>
        <w:numPr>
          <w:ilvl w:val="0"/>
          <w:numId w:val="1"/>
        </w:numPr>
        <w:shd w:val="clear" w:color="auto" w:fill="auto"/>
        <w:tabs>
          <w:tab w:val="left" w:pos="283"/>
        </w:tabs>
        <w:ind w:left="300" w:right="20"/>
      </w:pPr>
      <w:r>
        <w:t xml:space="preserve">1. açık artırma </w:t>
      </w:r>
      <w:proofErr w:type="gramStart"/>
      <w:r>
        <w:t>12/02/2013</w:t>
      </w:r>
      <w:proofErr w:type="gramEnd"/>
      <w:r>
        <w:t xml:space="preserve"> günü saat 13:30-13:45'de </w:t>
      </w:r>
      <w:proofErr w:type="spellStart"/>
      <w:r>
        <w:t>Kocakapı</w:t>
      </w:r>
      <w:proofErr w:type="spellEnd"/>
      <w:r>
        <w:t xml:space="preserve"> Mah. 1250/1</w:t>
      </w:r>
      <w:r>
        <w:br/>
        <w:t>Sok. No:4 Kapılar/İZMİR adresinde 4. Katta açık arttırma suretiyle yapılacaktır.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300" w:right="20" w:firstLine="0"/>
      </w:pPr>
      <w:r>
        <w:t>Bu artırmada teklif edilen en yüksek bedel gayrimenkule biçilen rayiç değerin %</w:t>
      </w:r>
      <w:r>
        <w:br/>
        <w:t>75’i ve takip masrafını ve varsa rüçhanlı alacakların tutarını geçmesi şartı ile en çok</w:t>
      </w:r>
      <w:r>
        <w:br/>
        <w:t>artırana ihale edilir. Böyle bir bedelle alıcı çıkmazsa en çok artıranın taahhüdü baki</w:t>
      </w:r>
      <w:r>
        <w:br/>
        <w:t xml:space="preserve">kalmak şartıyla </w:t>
      </w:r>
      <w:proofErr w:type="gramStart"/>
      <w:r>
        <w:rPr>
          <w:rStyle w:val="GvdemetniKaln0ptbolukbraklyor"/>
        </w:rPr>
        <w:t>19/02/2013</w:t>
      </w:r>
      <w:proofErr w:type="gramEnd"/>
      <w:r>
        <w:rPr>
          <w:rStyle w:val="GvdemetniKaln0ptbolukbraklyor"/>
        </w:rPr>
        <w:t xml:space="preserve"> günü aynı yer ve saatte ikinci artırma yapılacaktır.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300" w:right="20" w:firstLine="0"/>
      </w:pPr>
      <w:proofErr w:type="gramStart"/>
      <w:r>
        <w:t>ikinci</w:t>
      </w:r>
      <w:proofErr w:type="gramEnd"/>
      <w:r>
        <w:t xml:space="preserve"> artırmada rayiç değerin % 40’ı ve takip masrafını geçmesi şartıyla en çok</w:t>
      </w:r>
      <w:r>
        <w:br/>
        <w:t>artırana ihale edilir. Ancak ihale bedelinin rüçhanlı alacakla birlikte takip masraflarını</w:t>
      </w:r>
      <w:r>
        <w:br/>
        <w:t>da geçmesi şarttır. Şu kadarki; birinci artırmada istekli çıkmaz veya pey sürülmezse</w:t>
      </w:r>
      <w:r>
        <w:br/>
        <w:t>ikinci artırmada 6183 sayılı yasanın 94. maddesi gereğince birinci artırmadaki şartlar</w:t>
      </w:r>
      <w:r>
        <w:br/>
        <w:t>aranacaktır.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numPr>
          <w:ilvl w:val="0"/>
          <w:numId w:val="1"/>
        </w:numPr>
        <w:shd w:val="clear" w:color="auto" w:fill="auto"/>
        <w:tabs>
          <w:tab w:val="left" w:pos="278"/>
        </w:tabs>
        <w:ind w:left="300" w:right="20"/>
      </w:pPr>
      <w:r>
        <w:t xml:space="preserve">Artırmaya iştirak edeceklerin </w:t>
      </w:r>
      <w:proofErr w:type="spellStart"/>
      <w:r>
        <w:t>gayrimenkulun</w:t>
      </w:r>
      <w:proofErr w:type="spellEnd"/>
      <w:r>
        <w:t xml:space="preserve"> artırmaya esas rayiç değerinin % </w:t>
      </w:r>
      <w:proofErr w:type="gramStart"/>
      <w:r>
        <w:t>7.5’u</w:t>
      </w:r>
      <w:proofErr w:type="gramEnd"/>
      <w:r>
        <w:br/>
        <w:t>olan pey akçesini 6183 sayılı kanunun 10. maddesinin 1 ila 4. fıkrasında belirtildiği</w:t>
      </w:r>
      <w:r>
        <w:br/>
        <w:t>şekilde nakden veya süresiz kesin banka teminat mektubu, hazine tahvil ve bonosu.</w:t>
      </w:r>
      <w:r>
        <w:br/>
        <w:t>Hükümetçe belli edilecek Milli Esham ve tahvilat olarak Müdürlüğümüze satıştan</w:t>
      </w:r>
      <w:r>
        <w:br/>
        <w:t>önce vermeleri zorunludur. Teminat tutarı isteğe bağlı olarak Kurumumuzun banka</w:t>
      </w:r>
      <w:r>
        <w:br/>
        <w:t>hesabına satıştan 1 gün önce yatırılabilir. Dekont satış komisyonuna ibraz edilir.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tabs>
          <w:tab w:val="left" w:pos="278"/>
        </w:tabs>
        <w:ind w:left="300" w:right="20" w:firstLine="0"/>
      </w:pPr>
      <w:r>
        <w:t>Hesap numarası ve diğer ayrıntılar Müdürlüğümüzden öğrenilebilir.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573" w:right="20"/>
      </w:pPr>
      <w:r>
        <w:t>Satış peşin para ile yapılır. Alıcının talebine binaen 10 günü geçmemek üzere mehil</w:t>
      </w:r>
      <w:r>
        <w:br/>
        <w:t>verilebilir.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300" w:right="20" w:firstLine="0"/>
      </w:pPr>
      <w:r>
        <w:t>Resmi ihale pulu, damga vergisi, tapu alım-satım harcı ve diğer tüm masraflar,</w:t>
      </w:r>
      <w:r>
        <w:br/>
      </w:r>
      <w:proofErr w:type="gramStart"/>
      <w:r>
        <w:t>tellaliye</w:t>
      </w:r>
      <w:proofErr w:type="gramEnd"/>
      <w:r>
        <w:t xml:space="preserve"> resmi, KDV ve gayrimenkul teslim masrafı, tahliye işlemleri ve masrafı</w:t>
      </w:r>
      <w:r>
        <w:br/>
        <w:t>alıcıya aittir.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300" w:firstLine="0"/>
      </w:pPr>
      <w:r>
        <w:t>Taşınmazın aynından doğan birikmiş vergileri ihale bedelinden ödenecektir.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300" w:right="20" w:firstLine="0"/>
      </w:pPr>
      <w:r>
        <w:t>Pey ipotekli borç göz önüne alınmadan sürülür. Ancak gayrimenkul rehin suretiyle</w:t>
      </w:r>
      <w:r>
        <w:br/>
        <w:t xml:space="preserve">sağlanmış muaccel borçlar alıcıya devredilemez. </w:t>
      </w:r>
      <w:proofErr w:type="spellStart"/>
      <w:r>
        <w:t>Satiş</w:t>
      </w:r>
      <w:proofErr w:type="spellEnd"/>
      <w:r>
        <w:t xml:space="preserve"> bedelinden tercihen ödenir.</w:t>
      </w:r>
      <w:r>
        <w:br/>
        <w:t>Müeccel olup alıcıya intikal eden rehinli borçlar ihale bedelinden tenzil edilerek alıcı</w:t>
      </w:r>
      <w:r>
        <w:br/>
        <w:t>uhdesinde bırakılır. Bakiyesi kendisinden tahsil olunur.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300" w:right="20" w:firstLine="0"/>
      </w:pPr>
      <w:r>
        <w:t>İpotek sahibi alacaklılar ile diğer ilgililerin ve irtifak hakkı sahiplerin bu gayrimenkul</w:t>
      </w:r>
      <w:r>
        <w:br/>
        <w:t>üzerindeki hakları hususu ile faiz ve masrafa dair iddiaların dayanağı belgelerle</w:t>
      </w:r>
      <w:r>
        <w:br/>
      </w:r>
      <w:proofErr w:type="spellStart"/>
      <w:r>
        <w:t>gayrimenkulun</w:t>
      </w:r>
      <w:proofErr w:type="spellEnd"/>
      <w:r>
        <w:t xml:space="preserve"> satışına kadar Müdürlüğümüz icra Takip haciz ve Satış Servisine</w:t>
      </w:r>
      <w:r>
        <w:br/>
        <w:t>bildirmeleri lazımdır. Aksi takdirde hakları tapu sicili ile sabit olmadıkça paylaşmadan</w:t>
      </w:r>
      <w:r>
        <w:br/>
        <w:t>hariç bırakılacaktır.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shd w:val="clear" w:color="auto" w:fill="auto"/>
        <w:ind w:left="273" w:right="20" w:firstLine="0"/>
      </w:pPr>
      <w:proofErr w:type="spellStart"/>
      <w:r>
        <w:t>Gayrimenkulun</w:t>
      </w:r>
      <w:proofErr w:type="spellEnd"/>
      <w:r>
        <w:t xml:space="preserve"> kendisine ihale olunan kimse ihale bedelini hemen veya süre verilirse</w:t>
      </w:r>
      <w:r>
        <w:br/>
        <w:t>verilen süre içinde ödemekle yükümlüdür. Aksi takdirde ihale kararı feshedilir ve</w:t>
      </w:r>
      <w:r>
        <w:br/>
        <w:t>gayrimenkul satış komisyonunca hemen 7 gün süre ile artırmaya çıkarılır. Bu</w:t>
      </w:r>
      <w:r>
        <w:br/>
        <w:t>artırmada ilgililere herhangi bir tebliğ yapılmaz. Yalnız ilanla yetinilir. Gayrimenkul</w:t>
      </w:r>
      <w:r>
        <w:br/>
        <w:t xml:space="preserve">en çok artırana ihale edilir. </w:t>
      </w:r>
      <w:proofErr w:type="gramStart"/>
      <w:r>
        <w:t>Birinci kez ihale yapılan kimse iki ihale arasındaki farktan</w:t>
      </w:r>
      <w:r>
        <w:br/>
        <w:t>ve diğer zarardan mesul olup %5 faizi ile tahsil olunur, ihale farkı ve geçen günlerin</w:t>
      </w:r>
      <w:r>
        <w:br/>
        <w:t>faizi ayrıca hükme gerek kalmaksızın teminattan mahsubu yapıldıktan sonra bakiyesi</w:t>
      </w:r>
      <w:r>
        <w:br/>
        <w:t>6183 Sayılı Amme Alacakları Tahsili Usulü Hakkında Kanun Hükmüne göre Sosyal</w:t>
      </w:r>
      <w:r>
        <w:br/>
        <w:t>Güvenlik II Müdürlüğünce tahsil olunur.</w:t>
      </w:r>
      <w:proofErr w:type="gramEnd"/>
    </w:p>
    <w:p w:rsidR="006342C8" w:rsidRDefault="001D440D">
      <w:pPr>
        <w:pStyle w:val="Gvdemetni0"/>
        <w:framePr w:w="5386" w:h="13902" w:hRule="exact" w:wrap="none" w:vAnchor="page" w:hAnchor="page" w:x="2652" w:y="1804"/>
        <w:numPr>
          <w:ilvl w:val="0"/>
          <w:numId w:val="2"/>
        </w:numPr>
        <w:shd w:val="clear" w:color="auto" w:fill="auto"/>
        <w:tabs>
          <w:tab w:val="left" w:pos="302"/>
        </w:tabs>
        <w:ind w:left="314" w:right="20"/>
      </w:pPr>
      <w:r>
        <w:t>Şartname ilan tarihinden itibaren herkesin görebileceği İzmir Sosyal Güvenlik il</w:t>
      </w:r>
      <w:r>
        <w:br/>
        <w:t>Müdürlüğü Konak Sosyal Güvenlik Merkezi 3. icra Takip Haciz ve Satış Servisinde</w:t>
      </w:r>
      <w:r>
        <w:br/>
        <w:t>açık olup, masrafı verildiğinde bir örneği gönderilebilir.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numPr>
          <w:ilvl w:val="0"/>
          <w:numId w:val="2"/>
        </w:numPr>
        <w:shd w:val="clear" w:color="auto" w:fill="auto"/>
        <w:tabs>
          <w:tab w:val="left" w:pos="283"/>
        </w:tabs>
        <w:ind w:left="314" w:right="20"/>
      </w:pPr>
      <w:r>
        <w:t>Satışa iştirak edeceklerin şartnameyi görmüş ve münderecatını kabul etmiş sayılacakları,</w:t>
      </w:r>
      <w:r>
        <w:br/>
        <w:t xml:space="preserve">bilgi başvurmaları, almak isteyenlerin </w:t>
      </w:r>
      <w:r>
        <w:rPr>
          <w:rStyle w:val="GvdemetniKaln0ptbolukbraklyor"/>
        </w:rPr>
        <w:t xml:space="preserve">2008/4-GM. Satış takip </w:t>
      </w:r>
      <w:r>
        <w:t>dosyası ile il Müdürlüğümüz</w:t>
      </w:r>
      <w:r>
        <w:br/>
        <w:t>icra Satış Servisine başvurmaları.</w:t>
      </w:r>
    </w:p>
    <w:p w:rsidR="006342C8" w:rsidRDefault="001D440D">
      <w:pPr>
        <w:pStyle w:val="Gvdemetni0"/>
        <w:framePr w:w="5386" w:h="13902" w:hRule="exact" w:wrap="none" w:vAnchor="page" w:hAnchor="page" w:x="2652" w:y="1804"/>
        <w:numPr>
          <w:ilvl w:val="0"/>
          <w:numId w:val="2"/>
        </w:numPr>
        <w:shd w:val="clear" w:color="auto" w:fill="auto"/>
        <w:tabs>
          <w:tab w:val="left" w:pos="297"/>
        </w:tabs>
        <w:ind w:left="314" w:right="20"/>
      </w:pPr>
      <w:proofErr w:type="gramStart"/>
      <w:r>
        <w:t>iş</w:t>
      </w:r>
      <w:proofErr w:type="gramEnd"/>
      <w:r>
        <w:t xml:space="preserve"> bu ilanın tapu kaydında adresi bulunmayan ilgililer ile tapu kaydında ad ve adresleri</w:t>
      </w:r>
      <w:r>
        <w:br/>
        <w:t>geçip de tebliğ edilemeyen ilgililere de tebliğ yerine kaim olduğu ilan olunur.</w:t>
      </w:r>
    </w:p>
    <w:p w:rsidR="006342C8" w:rsidRDefault="001D440D">
      <w:pPr>
        <w:pStyle w:val="Gvdemetni30"/>
        <w:framePr w:w="5386" w:h="13902" w:hRule="exact" w:wrap="none" w:vAnchor="page" w:hAnchor="page" w:x="2652" w:y="1804"/>
        <w:shd w:val="clear" w:color="auto" w:fill="auto"/>
        <w:ind w:right="20" w:firstLine="0"/>
        <w:jc w:val="right"/>
      </w:pPr>
      <w:r>
        <w:t xml:space="preserve">B. 2774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6342C8" w:rsidRDefault="001D440D">
      <w:pPr>
        <w:pStyle w:val="Gvdemetni30"/>
        <w:framePr w:wrap="none" w:vAnchor="page" w:hAnchor="page" w:x="2589" w:y="9912"/>
        <w:shd w:val="clear" w:color="auto" w:fill="auto"/>
        <w:spacing w:line="140" w:lineRule="exact"/>
        <w:ind w:firstLine="0"/>
        <w:jc w:val="left"/>
      </w:pPr>
      <w:r>
        <w:t>3-</w:t>
      </w:r>
    </w:p>
    <w:p w:rsidR="006342C8" w:rsidRDefault="001D440D">
      <w:pPr>
        <w:pStyle w:val="Gvdemetni0"/>
        <w:framePr w:wrap="none" w:vAnchor="page" w:hAnchor="page" w:x="2599" w:y="12533"/>
        <w:shd w:val="clear" w:color="auto" w:fill="auto"/>
        <w:spacing w:line="140" w:lineRule="exact"/>
        <w:ind w:firstLine="0"/>
        <w:jc w:val="left"/>
      </w:pPr>
      <w:r>
        <w:t>8-</w:t>
      </w:r>
    </w:p>
    <w:p w:rsidR="006342C8" w:rsidRDefault="006342C8">
      <w:pPr>
        <w:rPr>
          <w:sz w:val="2"/>
          <w:szCs w:val="2"/>
        </w:rPr>
      </w:pPr>
    </w:p>
    <w:sectPr w:rsidR="006342C8" w:rsidSect="006342C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F8" w:rsidRDefault="009E19F8" w:rsidP="006342C8">
      <w:r>
        <w:separator/>
      </w:r>
    </w:p>
  </w:endnote>
  <w:endnote w:type="continuationSeparator" w:id="0">
    <w:p w:rsidR="009E19F8" w:rsidRDefault="009E19F8" w:rsidP="0063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F8" w:rsidRDefault="009E19F8"/>
  </w:footnote>
  <w:footnote w:type="continuationSeparator" w:id="0">
    <w:p w:rsidR="009E19F8" w:rsidRDefault="009E19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C31"/>
    <w:multiLevelType w:val="multilevel"/>
    <w:tmpl w:val="DEBC8EFC"/>
    <w:lvl w:ilvl="0">
      <w:start w:val="9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C7215"/>
    <w:multiLevelType w:val="multilevel"/>
    <w:tmpl w:val="F8E03F9A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42C8"/>
    <w:rsid w:val="001D440D"/>
    <w:rsid w:val="005C130E"/>
    <w:rsid w:val="006342C8"/>
    <w:rsid w:val="009E19F8"/>
    <w:rsid w:val="00B10804"/>
    <w:rsid w:val="00E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2C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342C8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342C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29"/>
      <w:szCs w:val="29"/>
      <w:u w:val="none"/>
    </w:rPr>
  </w:style>
  <w:style w:type="character" w:customStyle="1" w:styleId="Balk1">
    <w:name w:val="Başlık #1_"/>
    <w:basedOn w:val="VarsaylanParagrafYazTipi"/>
    <w:link w:val="Balk10"/>
    <w:rsid w:val="006342C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6342C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6342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6342C8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6342C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Gvdemetni5">
    <w:name w:val="Gövde metni (5)_"/>
    <w:basedOn w:val="VarsaylanParagrafYazTipi"/>
    <w:link w:val="Gvdemetni50"/>
    <w:rsid w:val="006342C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6">
    <w:name w:val="Gövde metni (6)_"/>
    <w:basedOn w:val="VarsaylanParagrafYazTipi"/>
    <w:link w:val="Gvdemetni60"/>
    <w:rsid w:val="006342C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Gvdemetni7">
    <w:name w:val="Gövde metni (7)_"/>
    <w:basedOn w:val="VarsaylanParagrafYazTipi"/>
    <w:link w:val="Gvdemetni70"/>
    <w:rsid w:val="006342C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Gvdemetni8">
    <w:name w:val="Gövde metni (8)_"/>
    <w:basedOn w:val="VarsaylanParagrafYazTipi"/>
    <w:link w:val="Gvdemetni80"/>
    <w:rsid w:val="006342C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Gvdemetni9">
    <w:name w:val="Gövde metni (9)_"/>
    <w:basedOn w:val="VarsaylanParagrafYazTipi"/>
    <w:link w:val="Gvdemetni90"/>
    <w:rsid w:val="006342C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0">
    <w:name w:val="Gövde metni (10)_"/>
    <w:basedOn w:val="VarsaylanParagrafYazTipi"/>
    <w:link w:val="Gvdemetni100"/>
    <w:rsid w:val="006342C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Gvdemetni11">
    <w:name w:val="Gövde metni (11)_"/>
    <w:basedOn w:val="VarsaylanParagrafYazTipi"/>
    <w:link w:val="Gvdemetni110"/>
    <w:rsid w:val="006342C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8"/>
      <w:sz w:val="11"/>
      <w:szCs w:val="11"/>
      <w:u w:val="none"/>
    </w:rPr>
  </w:style>
  <w:style w:type="character" w:customStyle="1" w:styleId="Gvdemetni111">
    <w:name w:val="Gövde metni (11)"/>
    <w:basedOn w:val="Gvdemetni11"/>
    <w:rsid w:val="006342C8"/>
    <w:rPr>
      <w:color w:val="000000"/>
      <w:w w:val="100"/>
      <w:position w:val="0"/>
      <w:lang w:val="tr-TR"/>
    </w:rPr>
  </w:style>
  <w:style w:type="character" w:customStyle="1" w:styleId="Gvdemetni12">
    <w:name w:val="Gövde metni (12)_"/>
    <w:basedOn w:val="VarsaylanParagrafYazTipi"/>
    <w:link w:val="Gvdemetni120"/>
    <w:rsid w:val="006342C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Gvdemetni121">
    <w:name w:val="Gövde metni (12)"/>
    <w:basedOn w:val="Gvdemetni12"/>
    <w:rsid w:val="006342C8"/>
    <w:rPr>
      <w:color w:val="000000"/>
      <w:spacing w:val="0"/>
      <w:w w:val="100"/>
      <w:position w:val="0"/>
    </w:rPr>
  </w:style>
  <w:style w:type="character" w:customStyle="1" w:styleId="Gvdemetni31">
    <w:name w:val="Gövde metni (3)"/>
    <w:basedOn w:val="Gvdemetni3"/>
    <w:rsid w:val="006342C8"/>
    <w:rPr>
      <w:color w:val="000000"/>
      <w:spacing w:val="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6342C8"/>
    <w:pPr>
      <w:shd w:val="clear" w:color="auto" w:fill="FFFFFF"/>
      <w:spacing w:line="355" w:lineRule="exact"/>
    </w:pPr>
    <w:rPr>
      <w:rFonts w:ascii="Arial Narrow" w:eastAsia="Arial Narrow" w:hAnsi="Arial Narrow" w:cs="Arial Narrow"/>
      <w:b/>
      <w:bCs/>
      <w:spacing w:val="-2"/>
      <w:sz w:val="29"/>
      <w:szCs w:val="29"/>
    </w:rPr>
  </w:style>
  <w:style w:type="paragraph" w:customStyle="1" w:styleId="Balk10">
    <w:name w:val="Başlık #1"/>
    <w:basedOn w:val="Normal"/>
    <w:link w:val="Balk1"/>
    <w:rsid w:val="006342C8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rsid w:val="006342C8"/>
    <w:pPr>
      <w:shd w:val="clear" w:color="auto" w:fill="FFFFFF"/>
      <w:spacing w:line="173" w:lineRule="exact"/>
      <w:ind w:hanging="300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Gvdemetni0">
    <w:name w:val="Gövde metni"/>
    <w:basedOn w:val="Normal"/>
    <w:link w:val="Gvdemetni"/>
    <w:rsid w:val="006342C8"/>
    <w:pPr>
      <w:shd w:val="clear" w:color="auto" w:fill="FFFFFF"/>
      <w:spacing w:line="173" w:lineRule="exact"/>
      <w:ind w:hanging="300"/>
      <w:jc w:val="both"/>
    </w:pPr>
    <w:rPr>
      <w:rFonts w:ascii="Arial Narrow" w:eastAsia="Arial Narrow" w:hAnsi="Arial Narrow" w:cs="Arial Narrow"/>
      <w:spacing w:val="2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6342C8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6"/>
      <w:sz w:val="20"/>
      <w:szCs w:val="20"/>
    </w:rPr>
  </w:style>
  <w:style w:type="paragraph" w:customStyle="1" w:styleId="Gvdemetni50">
    <w:name w:val="Gövde metni (5)"/>
    <w:basedOn w:val="Normal"/>
    <w:link w:val="Gvdemetni5"/>
    <w:rsid w:val="006342C8"/>
    <w:pPr>
      <w:shd w:val="clear" w:color="auto" w:fill="FFFFFF"/>
      <w:spacing w:before="60" w:after="60" w:line="0" w:lineRule="atLeast"/>
    </w:pPr>
    <w:rPr>
      <w:rFonts w:ascii="Palatino Linotype" w:eastAsia="Palatino Linotype" w:hAnsi="Palatino Linotype" w:cs="Palatino Linotype"/>
      <w:spacing w:val="-2"/>
      <w:sz w:val="13"/>
      <w:szCs w:val="13"/>
    </w:rPr>
  </w:style>
  <w:style w:type="paragraph" w:customStyle="1" w:styleId="Gvdemetni60">
    <w:name w:val="Gövde metni (6)"/>
    <w:basedOn w:val="Normal"/>
    <w:link w:val="Gvdemetni6"/>
    <w:rsid w:val="006342C8"/>
    <w:pPr>
      <w:shd w:val="clear" w:color="auto" w:fill="FFFFFF"/>
      <w:spacing w:before="60" w:after="60" w:line="230" w:lineRule="exact"/>
    </w:pPr>
    <w:rPr>
      <w:rFonts w:ascii="Palatino Linotype" w:eastAsia="Palatino Linotype" w:hAnsi="Palatino Linotype" w:cs="Palatino Linotype"/>
      <w:b/>
      <w:bCs/>
      <w:spacing w:val="3"/>
      <w:sz w:val="14"/>
      <w:szCs w:val="14"/>
    </w:rPr>
  </w:style>
  <w:style w:type="paragraph" w:customStyle="1" w:styleId="Gvdemetni70">
    <w:name w:val="Gövde metni (7)"/>
    <w:basedOn w:val="Normal"/>
    <w:link w:val="Gvdemetni7"/>
    <w:rsid w:val="006342C8"/>
    <w:pPr>
      <w:shd w:val="clear" w:color="auto" w:fill="FFFFFF"/>
      <w:spacing w:before="60" w:after="60" w:line="230" w:lineRule="exact"/>
    </w:pPr>
    <w:rPr>
      <w:rFonts w:ascii="Palatino Linotype" w:eastAsia="Palatino Linotype" w:hAnsi="Palatino Linotype" w:cs="Palatino Linotype"/>
      <w:spacing w:val="-5"/>
      <w:sz w:val="20"/>
      <w:szCs w:val="20"/>
    </w:rPr>
  </w:style>
  <w:style w:type="paragraph" w:customStyle="1" w:styleId="Gvdemetni80">
    <w:name w:val="Gövde metni (8)"/>
    <w:basedOn w:val="Normal"/>
    <w:link w:val="Gvdemetni8"/>
    <w:rsid w:val="006342C8"/>
    <w:pPr>
      <w:shd w:val="clear" w:color="auto" w:fill="FFFFFF"/>
      <w:spacing w:before="240" w:after="60" w:line="0" w:lineRule="atLeast"/>
    </w:pPr>
    <w:rPr>
      <w:rFonts w:ascii="Palatino Linotype" w:eastAsia="Palatino Linotype" w:hAnsi="Palatino Linotype" w:cs="Palatino Linotype"/>
      <w:spacing w:val="4"/>
      <w:sz w:val="13"/>
      <w:szCs w:val="13"/>
    </w:rPr>
  </w:style>
  <w:style w:type="paragraph" w:customStyle="1" w:styleId="Gvdemetni90">
    <w:name w:val="Gövde metni (9)"/>
    <w:basedOn w:val="Normal"/>
    <w:link w:val="Gvdemetni9"/>
    <w:rsid w:val="006342C8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Gvdemetni100">
    <w:name w:val="Gövde metni (10)"/>
    <w:basedOn w:val="Normal"/>
    <w:link w:val="Gvdemetni10"/>
    <w:rsid w:val="006342C8"/>
    <w:pPr>
      <w:shd w:val="clear" w:color="auto" w:fill="FFFFFF"/>
      <w:spacing w:before="60" w:after="240" w:line="0" w:lineRule="atLeast"/>
    </w:pPr>
    <w:rPr>
      <w:rFonts w:ascii="Consolas" w:eastAsia="Consolas" w:hAnsi="Consolas" w:cs="Consolas"/>
      <w:spacing w:val="1"/>
      <w:sz w:val="13"/>
      <w:szCs w:val="13"/>
    </w:rPr>
  </w:style>
  <w:style w:type="paragraph" w:customStyle="1" w:styleId="Gvdemetni110">
    <w:name w:val="Gövde metni (11)"/>
    <w:basedOn w:val="Normal"/>
    <w:link w:val="Gvdemetni11"/>
    <w:rsid w:val="006342C8"/>
    <w:pPr>
      <w:shd w:val="clear" w:color="auto" w:fill="FFFFFF"/>
      <w:spacing w:before="1200" w:after="60" w:line="0" w:lineRule="atLeast"/>
    </w:pPr>
    <w:rPr>
      <w:rFonts w:ascii="Arial Narrow" w:eastAsia="Arial Narrow" w:hAnsi="Arial Narrow" w:cs="Arial Narrow"/>
      <w:i/>
      <w:iCs/>
      <w:spacing w:val="-18"/>
      <w:sz w:val="11"/>
      <w:szCs w:val="11"/>
    </w:rPr>
  </w:style>
  <w:style w:type="paragraph" w:customStyle="1" w:styleId="Gvdemetni120">
    <w:name w:val="Gövde metni (12)"/>
    <w:basedOn w:val="Normal"/>
    <w:link w:val="Gvdemetni12"/>
    <w:rsid w:val="006342C8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2013-01-17T09:06:00Z</dcterms:created>
  <dcterms:modified xsi:type="dcterms:W3CDTF">2013-01-17T09:16:00Z</dcterms:modified>
</cp:coreProperties>
</file>