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528" w:h="638" w:hRule="exact" w:wrap="none" w:vAnchor="page" w:hAnchor="page" w:x="2792" w:y="2436"/>
        <w:widowControl w:val="0"/>
        <w:keepNext w:val="0"/>
        <w:keepLines w:val="0"/>
        <w:shd w:val="clear" w:color="auto" w:fill="auto"/>
        <w:bidi w:val="0"/>
        <w:jc w:val="left"/>
        <w:spacing w:before="0" w:after="0"/>
        <w:ind w:left="20" w:right="180" w:firstLine="0"/>
      </w:pPr>
      <w:bookmarkStart w:id="0" w:name="bookmark0"/>
      <w:r>
        <w:rPr>
          <w:lang w:val="tr-TR"/>
          <w:w w:val="100"/>
          <w:color w:val="000000"/>
          <w:position w:val="0"/>
        </w:rPr>
        <w:t>T.C.MALATYA 2. (SULH HUKUK MAH.) SATIŞ MEMURLUĞU</w:t>
      </w:r>
      <w:bookmarkEnd w:id="0"/>
    </w:p>
    <w:p>
      <w:pPr>
        <w:pStyle w:val="Style3"/>
        <w:framePr w:w="6528" w:h="638" w:hRule="exact" w:wrap="none" w:vAnchor="page" w:hAnchor="page" w:x="2792" w:y="2436"/>
        <w:widowControl w:val="0"/>
        <w:keepNext w:val="0"/>
        <w:keepLines w:val="0"/>
        <w:shd w:val="clear" w:color="auto" w:fill="auto"/>
        <w:bidi w:val="0"/>
        <w:jc w:val="left"/>
        <w:spacing w:before="0" w:after="0"/>
        <w:ind w:left="20" w:right="180" w:firstLine="0"/>
      </w:pPr>
      <w:bookmarkStart w:id="0" w:name="bookmark0"/>
      <w:r>
        <w:rPr>
          <w:lang w:val="tr-TR"/>
          <w:w w:val="100"/>
          <w:color w:val="000000"/>
          <w:position w:val="0"/>
        </w:rPr>
        <w:t>TAŞINMAZIN AÇIK ARTIRMA İLANI</w:t>
      </w:r>
      <w:bookmarkEnd w:id="0"/>
    </w:p>
    <w:p>
      <w:pPr>
        <w:pStyle w:val="Style5"/>
        <w:framePr w:wrap="none" w:vAnchor="page" w:hAnchor="page" w:x="8465" w:y="2855"/>
        <w:widowControl w:val="0"/>
        <w:keepNext w:val="0"/>
        <w:keepLines w:val="0"/>
        <w:shd w:val="clear" w:color="auto" w:fill="auto"/>
        <w:bidi w:val="0"/>
        <w:jc w:val="left"/>
        <w:spacing w:before="0" w:after="0" w:line="140" w:lineRule="exact"/>
        <w:ind w:left="0" w:right="0" w:firstLine="0"/>
      </w:pPr>
      <w:r>
        <w:rPr>
          <w:rStyle w:val="CharStyle7"/>
          <w:i/>
          <w:iCs/>
        </w:rPr>
        <w:t>:a</w:t>
      </w:r>
    </w:p>
    <w:p>
      <w:pPr>
        <w:pStyle w:val="Style8"/>
        <w:framePr w:w="6528" w:h="11160" w:hRule="exact" w:wrap="none" w:vAnchor="page" w:hAnchor="page" w:x="2792" w:y="3178"/>
        <w:widowControl w:val="0"/>
        <w:keepNext w:val="0"/>
        <w:keepLines w:val="0"/>
        <w:shd w:val="clear" w:color="auto" w:fill="auto"/>
        <w:bidi w:val="0"/>
        <w:jc w:val="left"/>
        <w:spacing w:before="0" w:after="0"/>
        <w:ind w:left="20" w:right="0" w:firstLine="0"/>
      </w:pPr>
      <w:r>
        <w:rPr>
          <w:lang w:val="tr-TR"/>
          <w:w w:val="100"/>
          <w:color w:val="000000"/>
          <w:position w:val="0"/>
        </w:rPr>
        <w:t>2012/30 Satış</w:t>
      </w:r>
    </w:p>
    <w:p>
      <w:pPr>
        <w:pStyle w:val="Style10"/>
        <w:framePr w:w="6528" w:h="11160" w:hRule="exact" w:wrap="none" w:vAnchor="page" w:hAnchor="page" w:x="2792" w:y="3178"/>
        <w:widowControl w:val="0"/>
        <w:keepNext w:val="0"/>
        <w:keepLines w:val="0"/>
        <w:shd w:val="clear" w:color="auto" w:fill="auto"/>
        <w:bidi w:val="0"/>
        <w:jc w:val="left"/>
        <w:spacing w:before="0" w:after="0"/>
        <w:ind w:left="20" w:right="180" w:firstLine="0"/>
      </w:pPr>
      <w:r>
        <w:rPr>
          <w:lang w:val="tr-TR"/>
          <w:w w:val="100"/>
          <w:color w:val="000000"/>
          <w:position w:val="0"/>
        </w:rPr>
        <w:t>Kapatılan Yazıhan/Malatya Sulh Hukuk Mah. de yapılan yargılamada 2011/10-75 E.K.sy. ilamı ile satılmasına karar verilen davacı Mehmet Ordu vs. ile davalısı Fatma ^ Akkar vs. olan;</w:t>
      </w:r>
    </w:p>
    <w:p>
      <w:pPr>
        <w:pStyle w:val="Style10"/>
        <w:framePr w:w="6528" w:h="11160" w:hRule="exact" w:wrap="none" w:vAnchor="page" w:hAnchor="page" w:x="2792" w:y="3178"/>
        <w:widowControl w:val="0"/>
        <w:keepNext w:val="0"/>
        <w:keepLines w:val="0"/>
        <w:shd w:val="clear" w:color="auto" w:fill="auto"/>
        <w:bidi w:val="0"/>
        <w:jc w:val="both"/>
        <w:spacing w:before="0" w:after="0"/>
        <w:ind w:left="20" w:right="500" w:firstLine="0"/>
      </w:pPr>
      <w:r>
        <w:rPr>
          <w:rStyle w:val="CharStyle12"/>
        </w:rPr>
        <w:t>Taşınmazın; Tapu Kaydı</w:t>
      </w:r>
      <w:r>
        <w:rPr>
          <w:lang w:val="tr-TR"/>
          <w:w w:val="100"/>
          <w:color w:val="000000"/>
          <w:position w:val="0"/>
        </w:rPr>
        <w:t xml:space="preserve">: MALATYA ili, YAZIHAN ilçesi, TECİRLİ KÖYÜ 10 parsel. </w:t>
      </w:r>
      <w:r>
        <w:rPr>
          <w:rStyle w:val="CharStyle12"/>
        </w:rPr>
        <w:t>Özellikleri</w:t>
      </w:r>
      <w:r>
        <w:rPr>
          <w:lang w:val="tr-TR"/>
          <w:w w:val="100"/>
          <w:color w:val="000000"/>
          <w:position w:val="0"/>
        </w:rPr>
        <w:t>: Tapu kaydına göre susuz tarla olup 114.000,00m2.alanlı, Sulu Bahçe Arazisi olarak kullanılmakta, yaklaşık 23 dekarlık kısmı ev, kanal, yol ve sebzelik alan olarak kullanılmakta, 91 dekarlık alan ise verim çağında kapama kaysı bahçesi olarak kullanılmaktadır, toprak yapısı kolüvyal-kahverengi büyüt toprak grubunda, orta derin</w:t>
        <w:softHyphen/>
        <w:t>likte, %l-2 eğimli, drenaj problemi yoktur, parsel üzerinde 7 adet tek katlı betonarme bina, 6 adet tek katlı kerpiçten yapılma bina ve binaların etrafında müştemilatlar* ahır, samanlık, ekmek damı, depo) bulunmaktadır.</w:t>
      </w:r>
    </w:p>
    <w:p>
      <w:pPr>
        <w:pStyle w:val="Style8"/>
        <w:framePr w:w="6528" w:h="11160" w:hRule="exact" w:wrap="none" w:vAnchor="page" w:hAnchor="page" w:x="2792" w:y="3178"/>
        <w:widowControl w:val="0"/>
        <w:keepNext w:val="0"/>
        <w:keepLines w:val="0"/>
        <w:shd w:val="clear" w:color="auto" w:fill="auto"/>
        <w:bidi w:val="0"/>
        <w:jc w:val="left"/>
        <w:spacing w:before="0" w:after="0"/>
        <w:ind w:left="20" w:right="0" w:firstLine="0"/>
      </w:pPr>
      <w:r>
        <w:rPr>
          <w:lang w:val="tr-TR"/>
          <w:w w:val="100"/>
          <w:color w:val="000000"/>
          <w:position w:val="0"/>
        </w:rPr>
        <w:t xml:space="preserve">İmar Durumu </w:t>
      </w:r>
      <w:r>
        <w:rPr>
          <w:rStyle w:val="CharStyle13"/>
          <w:b w:val="0"/>
          <w:bCs w:val="0"/>
        </w:rPr>
        <w:t>: İmarsız,</w:t>
      </w:r>
    </w:p>
    <w:p>
      <w:pPr>
        <w:pStyle w:val="Style8"/>
        <w:numPr>
          <w:ilvl w:val="0"/>
          <w:numId w:val="1"/>
        </w:numPr>
        <w:framePr w:w="6528" w:h="11160" w:hRule="exact" w:wrap="none" w:vAnchor="page" w:hAnchor="page" w:x="2792" w:y="3178"/>
        <w:tabs>
          <w:tab w:leader="none" w:pos="222" w:val="left"/>
        </w:tabs>
        <w:widowControl w:val="0"/>
        <w:keepNext w:val="0"/>
        <w:keepLines w:val="0"/>
        <w:shd w:val="clear" w:color="auto" w:fill="auto"/>
        <w:bidi w:val="0"/>
        <w:jc w:val="left"/>
        <w:spacing w:before="0" w:after="0"/>
        <w:ind w:left="20" w:right="0" w:firstLine="0"/>
      </w:pPr>
      <w:r>
        <w:rPr>
          <w:lang w:val="tr-TR"/>
          <w:w w:val="100"/>
          <w:color w:val="000000"/>
          <w:position w:val="0"/>
        </w:rPr>
        <w:t>Satış Günü : 05/11/2012</w:t>
      </w:r>
    </w:p>
    <w:p>
      <w:pPr>
        <w:pStyle w:val="Style10"/>
        <w:numPr>
          <w:ilvl w:val="0"/>
          <w:numId w:val="1"/>
        </w:numPr>
        <w:framePr w:w="6528" w:h="11160" w:hRule="exact" w:wrap="none" w:vAnchor="page" w:hAnchor="page" w:x="2792" w:y="3178"/>
        <w:tabs>
          <w:tab w:leader="none" w:pos="222" w:val="left"/>
          <w:tab w:leader="none" w:pos="1618" w:val="left"/>
        </w:tabs>
        <w:widowControl w:val="0"/>
        <w:keepNext w:val="0"/>
        <w:keepLines w:val="0"/>
        <w:shd w:val="clear" w:color="auto" w:fill="auto"/>
        <w:bidi w:val="0"/>
        <w:jc w:val="left"/>
        <w:spacing w:before="0" w:after="0"/>
        <w:ind w:left="20" w:right="180" w:firstLine="0"/>
      </w:pPr>
      <w:r>
        <w:rPr>
          <w:rStyle w:val="CharStyle12"/>
        </w:rPr>
        <w:t xml:space="preserve">Satış Günü : </w:t>
      </w:r>
      <w:r>
        <w:rPr>
          <w:lang w:val="tr-TR"/>
          <w:w w:val="100"/>
          <w:color w:val="000000"/>
          <w:position w:val="0"/>
        </w:rPr>
        <w:t xml:space="preserve">15/11/2012 </w:t>
      </w:r>
      <w:r>
        <w:rPr>
          <w:rStyle w:val="CharStyle12"/>
        </w:rPr>
        <w:t>Satış Saati</w:t>
        <w:tab/>
      </w:r>
      <w:r>
        <w:rPr>
          <w:lang w:val="tr-TR"/>
          <w:w w:val="100"/>
          <w:color w:val="000000"/>
          <w:position w:val="0"/>
        </w:rPr>
        <w:t>: 15:00 -15:15 Arası</w:t>
      </w:r>
    </w:p>
    <w:p>
      <w:pPr>
        <w:pStyle w:val="Style10"/>
        <w:framePr w:w="6528" w:h="11160" w:hRule="exact" w:wrap="none" w:vAnchor="page" w:hAnchor="page" w:x="2792" w:y="3178"/>
        <w:tabs>
          <w:tab w:leader="none" w:pos="1618" w:val="left"/>
        </w:tabs>
        <w:widowControl w:val="0"/>
        <w:keepNext w:val="0"/>
        <w:keepLines w:val="0"/>
        <w:shd w:val="clear" w:color="auto" w:fill="auto"/>
        <w:bidi w:val="0"/>
        <w:jc w:val="left"/>
        <w:spacing w:before="0" w:after="0"/>
        <w:ind w:left="20" w:right="0" w:firstLine="0"/>
      </w:pPr>
      <w:r>
        <w:rPr>
          <w:rStyle w:val="CharStyle12"/>
        </w:rPr>
        <w:t>Satış Yeri</w:t>
        <w:tab/>
      </w:r>
      <w:r>
        <w:rPr>
          <w:lang w:val="tr-TR"/>
          <w:w w:val="100"/>
          <w:color w:val="000000"/>
          <w:position w:val="0"/>
        </w:rPr>
        <w:t>: MALATYA 2.SULH HUK MAHKEMESİ YAZI İŞL.MÜD.ODASI .</w:t>
      </w:r>
    </w:p>
    <w:p>
      <w:pPr>
        <w:pStyle w:val="Style10"/>
        <w:framePr w:w="6528" w:h="11160" w:hRule="exact" w:wrap="none" w:vAnchor="page" w:hAnchor="page" w:x="2792" w:y="3178"/>
        <w:widowControl w:val="0"/>
        <w:keepNext w:val="0"/>
        <w:keepLines w:val="0"/>
        <w:shd w:val="clear" w:color="auto" w:fill="auto"/>
        <w:bidi w:val="0"/>
        <w:jc w:val="left"/>
        <w:spacing w:before="0" w:after="0"/>
        <w:ind w:left="1620" w:right="180"/>
      </w:pPr>
      <w:r>
        <w:rPr>
          <w:rStyle w:val="CharStyle12"/>
        </w:rPr>
        <w:t xml:space="preserve">Muhammen Bedel </w:t>
      </w:r>
      <w:r>
        <w:rPr>
          <w:lang w:val="tr-TR"/>
          <w:w w:val="100"/>
          <w:color w:val="000000"/>
          <w:position w:val="0"/>
        </w:rPr>
        <w:t>: Üzerindeki müştemilatlarla birlikte (evler, ağaçlar, ahır, samanlık, depo vs.)</w:t>
      </w:r>
    </w:p>
    <w:p>
      <w:pPr>
        <w:pStyle w:val="Style10"/>
        <w:framePr w:w="6528" w:h="11160" w:hRule="exact" w:wrap="none" w:vAnchor="page" w:hAnchor="page" w:x="2792" w:y="3178"/>
        <w:widowControl w:val="0"/>
        <w:keepNext w:val="0"/>
        <w:keepLines w:val="0"/>
        <w:shd w:val="clear" w:color="auto" w:fill="auto"/>
        <w:bidi w:val="0"/>
        <w:jc w:val="left"/>
        <w:spacing w:before="0" w:after="0"/>
        <w:ind w:left="20" w:right="0" w:firstLine="0"/>
      </w:pPr>
      <w:r>
        <w:rPr>
          <w:rStyle w:val="CharStyle12"/>
        </w:rPr>
        <w:t xml:space="preserve">TOPLAM DEĞERİ </w:t>
      </w:r>
      <w:r>
        <w:rPr>
          <w:lang w:val="tr-TR"/>
          <w:w w:val="100"/>
          <w:color w:val="000000"/>
          <w:position w:val="0"/>
        </w:rPr>
        <w:t>: 1.011.107,40-TL.</w:t>
      </w:r>
    </w:p>
    <w:p>
      <w:pPr>
        <w:pStyle w:val="Style8"/>
        <w:framePr w:w="6528" w:h="11160" w:hRule="exact" w:wrap="none" w:vAnchor="page" w:hAnchor="page" w:x="2792" w:y="3178"/>
        <w:widowControl w:val="0"/>
        <w:keepNext w:val="0"/>
        <w:keepLines w:val="0"/>
        <w:shd w:val="clear" w:color="auto" w:fill="auto"/>
        <w:bidi w:val="0"/>
        <w:jc w:val="left"/>
        <w:spacing w:before="0" w:after="0"/>
        <w:ind w:left="20" w:right="0" w:firstLine="0"/>
      </w:pPr>
      <w:r>
        <w:rPr>
          <w:lang w:val="tr-TR"/>
          <w:w w:val="100"/>
          <w:color w:val="000000"/>
          <w:position w:val="0"/>
        </w:rPr>
        <w:t>Satış Şartları</w:t>
      </w:r>
    </w:p>
    <w:p>
      <w:pPr>
        <w:pStyle w:val="Style10"/>
        <w:numPr>
          <w:ilvl w:val="0"/>
          <w:numId w:val="3"/>
        </w:numPr>
        <w:framePr w:w="6528" w:h="11160" w:hRule="exact" w:wrap="none" w:vAnchor="page" w:hAnchor="page" w:x="2792" w:y="3178"/>
        <w:tabs>
          <w:tab w:leader="none" w:pos="226" w:val="left"/>
        </w:tabs>
        <w:widowControl w:val="0"/>
        <w:keepNext w:val="0"/>
        <w:keepLines w:val="0"/>
        <w:shd w:val="clear" w:color="auto" w:fill="auto"/>
        <w:bidi w:val="0"/>
        <w:jc w:val="both"/>
        <w:spacing w:before="0" w:after="0"/>
        <w:ind w:left="20" w:right="500" w:firstLine="0"/>
      </w:pPr>
      <w:r>
        <w:rPr>
          <w:lang w:val="tr-TR"/>
          <w:w w:val="100"/>
          <w:color w:val="000000"/>
          <w:position w:val="0"/>
        </w:rPr>
        <w:t>Satış, yukarıda belirtilen birinci satış gününde, satış saatleri arasında satış yerinde açık artırma suretiyle yapılacaktır. Bu artırmada tahmin edilen değerin yüzde 60'ını ve rüçhanlı alacaklılar varsa alacakları toplamını ve satış ve paylaştırma giderlerini geçmek şartı ile ihale olunur. Böyle bir bedele alıcı çıkmazsa en çok artıranın taah</w:t>
        <w:softHyphen/>
        <w:t>hüdü saklı kalmak şartıyla yukarıda belirtilen ikinci satış gününde aynı yer ve saatler arasında ikinci artırmaya çıkarılacaktır. Bu artırmada da rüçhanlı alacaklıların alacakları toplamını, satış ve paylaştırma giderlerini geçmesi ve artırma bedelinin malın tahmin edilen kıymetinin yüzde 40' ını bulması lazımdır. Böyle bir bedelle alıcı çıkmazsa satış talebi düşecektir.</w:t>
      </w:r>
    </w:p>
    <w:p>
      <w:pPr>
        <w:pStyle w:val="Style10"/>
        <w:numPr>
          <w:ilvl w:val="0"/>
          <w:numId w:val="3"/>
        </w:numPr>
        <w:framePr w:w="6528" w:h="11160" w:hRule="exact" w:wrap="none" w:vAnchor="page" w:hAnchor="page" w:x="2792" w:y="3178"/>
        <w:tabs>
          <w:tab w:leader="none" w:pos="217" w:val="left"/>
        </w:tabs>
        <w:widowControl w:val="0"/>
        <w:keepNext w:val="0"/>
        <w:keepLines w:val="0"/>
        <w:shd w:val="clear" w:color="auto" w:fill="auto"/>
        <w:bidi w:val="0"/>
        <w:jc w:val="left"/>
        <w:spacing w:before="0" w:after="0"/>
        <w:ind w:left="20" w:right="180" w:firstLine="0"/>
      </w:pPr>
      <w:r>
        <w:rPr>
          <w:lang w:val="tr-TR"/>
          <w:w w:val="100"/>
          <w:color w:val="000000"/>
          <w:position w:val="0"/>
        </w:rPr>
        <w:t>Artırmaya iştirak edeceklerin, tahmin edilen kıymetin yüzde 20'si nispetinde Türk Lirası peşin para veya bu miktar kadar milli bir bankanın teminat mektubunu vermeleri lazımdır. Satış peşin para iledir. Alıcıya istediğinde 10 günü geçmemek üzere mehil ver</w:t>
        <w:softHyphen/>
        <w:t>ilebilir. Tapu alım harcı, damga vergisi ile K.D.V.alıcıya aittir. Birikmiş vergiler, tellaliye satış bedelinden ödenir.</w:t>
      </w:r>
    </w:p>
    <w:p>
      <w:pPr>
        <w:pStyle w:val="Style10"/>
        <w:numPr>
          <w:ilvl w:val="0"/>
          <w:numId w:val="3"/>
        </w:numPr>
        <w:framePr w:w="6528" w:h="11160" w:hRule="exact" w:wrap="none" w:vAnchor="page" w:hAnchor="page" w:x="2792" w:y="3178"/>
        <w:tabs>
          <w:tab w:leader="none" w:pos="279" w:val="left"/>
        </w:tabs>
        <w:widowControl w:val="0"/>
        <w:keepNext w:val="0"/>
        <w:keepLines w:val="0"/>
        <w:shd w:val="clear" w:color="auto" w:fill="auto"/>
        <w:bidi w:val="0"/>
        <w:jc w:val="left"/>
        <w:spacing w:before="0" w:after="0"/>
        <w:ind w:left="20" w:right="180" w:firstLine="0"/>
      </w:pPr>
      <w:r>
        <w:rPr>
          <w:lang w:val="tr-TR"/>
          <w:w w:val="100"/>
          <w:color w:val="000000"/>
          <w:position w:val="0"/>
        </w:rPr>
        <w:t>İpotek sahibi alacaklılarla, irtifak hakkı sahipleri, diğer ilgililerin (*) bu taşınmaz üzerindeki haklarını hususiyle faiz ve masrafa dair olan iddialarını dayanağı belgeler ile on beş gün içinde memurluğumuza bildirmeleri lazımdır.Aksi takdirde hakları tapu sicili ile sabit olmadıkça paylaştırmadan hariç bırakılacaktır. Satış bedeli hemen veya verilen mühlet içinde ödenmezse icra İflas Kanununun 133 üncü maddesi gereğince ihale fes</w:t>
        <w:softHyphen/>
        <w:t>hedilir. İki ihale arasındaki farktan ve yüzde 10 faizden alıcı ve kefilleri mesul tutulacak ve hiç bir hükme hacet kalmadan kendilerinden tahsil edilecektir.</w:t>
      </w:r>
    </w:p>
    <w:p>
      <w:pPr>
        <w:pStyle w:val="Style10"/>
        <w:numPr>
          <w:ilvl w:val="0"/>
          <w:numId w:val="3"/>
        </w:numPr>
        <w:framePr w:w="6528" w:h="11160" w:hRule="exact" w:wrap="none" w:vAnchor="page" w:hAnchor="page" w:x="2792" w:y="3178"/>
        <w:tabs>
          <w:tab w:leader="none" w:pos="274" w:val="left"/>
        </w:tabs>
        <w:widowControl w:val="0"/>
        <w:keepNext w:val="0"/>
        <w:keepLines w:val="0"/>
        <w:shd w:val="clear" w:color="auto" w:fill="auto"/>
        <w:bidi w:val="0"/>
        <w:jc w:val="left"/>
        <w:spacing w:before="0" w:after="0"/>
        <w:ind w:left="20" w:right="180" w:firstLine="0"/>
      </w:pPr>
      <w:r>
        <w:rPr>
          <w:lang w:val="tr-TR"/>
          <w:w w:val="100"/>
          <w:color w:val="000000"/>
          <w:position w:val="0"/>
        </w:rPr>
        <w:t>Şartname, ilan tarihinden itibaren herkesin görebilmesi için dairede açık olup gideri verildiği takdirde isteyen alıcıya bir örneği gönderilebilir. Satışa iştirak edenlerin şart</w:t>
        <w:softHyphen/>
        <w:t>nameyi görmüş ve münderecatını kabul etmiş sayılacakları, başkaca bilgi almak isteyenlerin yukarıda yazılı dosya numarasıyla memurluğumuza başvurmaları gerek</w:t>
        <w:softHyphen/>
        <w:t>mektedir.</w:t>
      </w:r>
    </w:p>
    <w:p>
      <w:pPr>
        <w:pStyle w:val="Style10"/>
        <w:framePr w:w="6528" w:h="11160" w:hRule="exact" w:wrap="none" w:vAnchor="page" w:hAnchor="page" w:x="2792" w:y="3178"/>
        <w:widowControl w:val="0"/>
        <w:keepNext w:val="0"/>
        <w:keepLines w:val="0"/>
        <w:shd w:val="clear" w:color="auto" w:fill="auto"/>
        <w:bidi w:val="0"/>
        <w:jc w:val="left"/>
        <w:spacing w:before="0" w:after="0"/>
        <w:ind w:left="20" w:right="180" w:firstLine="0"/>
      </w:pPr>
      <w:r>
        <w:rPr>
          <w:lang w:val="tr-TR"/>
          <w:w w:val="100"/>
          <w:color w:val="000000"/>
          <w:position w:val="0"/>
        </w:rPr>
        <w:t>İş bu ilan tebligat yapılamayan ilgililere tebligat yerine kaim olmak üzere ilan olunur.04/09/2012</w:t>
      </w:r>
    </w:p>
    <w:p>
      <w:pPr>
        <w:pStyle w:val="Style8"/>
        <w:framePr w:w="6528" w:h="11160" w:hRule="exact" w:wrap="none" w:vAnchor="page" w:hAnchor="page" w:x="2792" w:y="3178"/>
        <w:widowControl w:val="0"/>
        <w:keepNext w:val="0"/>
        <w:keepLines w:val="0"/>
        <w:shd w:val="clear" w:color="auto" w:fill="auto"/>
        <w:bidi w:val="0"/>
        <w:jc w:val="left"/>
        <w:spacing w:before="0" w:after="0"/>
        <w:ind w:left="5500" w:right="0" w:firstLine="0"/>
      </w:pPr>
      <w:r>
        <w:rPr>
          <w:lang w:val="en-US"/>
          <w:w w:val="100"/>
          <w:color w:val="000000"/>
          <w:position w:val="0"/>
        </w:rPr>
        <w:t>"vnpv.tr'</w:t>
      </w:r>
    </w:p>
    <w:p>
      <w:pPr>
        <w:pStyle w:val="Style8"/>
        <w:framePr w:w="6528" w:h="11160" w:hRule="exact" w:wrap="none" w:vAnchor="page" w:hAnchor="page" w:x="2792" w:y="3178"/>
        <w:widowControl w:val="0"/>
        <w:keepNext w:val="0"/>
        <w:keepLines w:val="0"/>
        <w:shd w:val="clear" w:color="auto" w:fill="auto"/>
        <w:bidi w:val="0"/>
        <w:jc w:val="left"/>
        <w:spacing w:before="0" w:after="0" w:line="170" w:lineRule="exact"/>
        <w:ind w:left="1860" w:right="0" w:firstLine="0"/>
      </w:pPr>
      <w:r>
        <w:rPr>
          <w:lang w:val="tr-TR"/>
          <w:vertAlign w:val="superscript"/>
          <w:w w:val="100"/>
          <w:color w:val="000000"/>
          <w:position w:val="0"/>
        </w:rPr>
        <w:t>r,</w:t>
      </w:r>
      <w:r>
        <w:rPr>
          <w:lang w:val="tr-TR"/>
          <w:w w:val="100"/>
          <w:color w:val="000000"/>
          <w:position w:val="0"/>
        </w:rPr>
        <w:t>&gt;s"ii İlanlar wr</w:t>
      </w:r>
    </w:p>
    <w:p>
      <w:pPr>
        <w:widowControl w:val="0"/>
        <w:rPr>
          <w:sz w:val="2"/>
          <w:szCs w:val="2"/>
        </w:rPr>
      </w:pPr>
    </w:p>
    <w:sectPr>
      <w:footnotePr>
        <w:pos w:val="pageBottom"/>
        <w:numFmt w:val="decimal"/>
        <w:numRestart w:val="continuous"/>
      </w:footnotePr>
      <w:pgSz w:w="11909" w:h="16838"/>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tr-TR"/>
        <w:b/>
        <w:bCs/>
        <w:i w:val="0"/>
        <w:iCs w:val="0"/>
        <w:u w:val="none"/>
        <w:strike w:val="0"/>
        <w:smallCaps w:val="0"/>
        <w:sz w:val="17"/>
        <w:szCs w:val="17"/>
        <w:rFonts w:ascii="Arial Narrow" w:eastAsia="Arial Narrow" w:hAnsi="Arial Narrow" w:cs="Arial Narrow"/>
        <w:w w:val="100"/>
        <w:spacing w:val="3"/>
        <w:color w:val="000000"/>
        <w:position w:val="0"/>
      </w:rPr>
    </w:lvl>
  </w:abstractNum>
  <w:abstractNum w:abstractNumId="2">
    <w:multiLevelType w:val="multilevel"/>
    <w:lvl w:ilvl="0">
      <w:start w:val="1"/>
      <w:numFmt w:val="decimal"/>
      <w:lvlText w:val="%1-"/>
      <w:rPr>
        <w:lang w:val="tr-TR"/>
        <w:b w:val="0"/>
        <w:bCs w:val="0"/>
        <w:i w:val="0"/>
        <w:iCs w:val="0"/>
        <w:u w:val="none"/>
        <w:strike w:val="0"/>
        <w:smallCaps w:val="0"/>
        <w:sz w:val="17"/>
        <w:szCs w:val="17"/>
        <w:rFonts w:ascii="Arial Narrow" w:eastAsia="Arial Narrow" w:hAnsi="Arial Narrow" w:cs="Arial Narrow"/>
        <w:w w:val="100"/>
        <w:spacing w:val="1"/>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tr-TR"/>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tr-TR"/>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tr-TR"/>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0080"/>
    </w:rPr>
  </w:style>
  <w:style w:type="character" w:customStyle="1" w:styleId="CharStyle4">
    <w:name w:val="Başlık #1_"/>
    <w:basedOn w:val="DefaultParagraphFont"/>
    <w:link w:val="Style3"/>
    <w:rPr>
      <w:b/>
      <w:bCs/>
      <w:i w:val="0"/>
      <w:iCs w:val="0"/>
      <w:u w:val="none"/>
      <w:strike w:val="0"/>
      <w:smallCaps w:val="0"/>
      <w:sz w:val="23"/>
      <w:szCs w:val="23"/>
      <w:rFonts w:ascii="Arial Narrow" w:eastAsia="Arial Narrow" w:hAnsi="Arial Narrow" w:cs="Arial Narrow"/>
      <w:spacing w:val="4"/>
    </w:rPr>
  </w:style>
  <w:style w:type="character" w:customStyle="1" w:styleId="CharStyle6">
    <w:name w:val="Gövde metni (3)_"/>
    <w:basedOn w:val="DefaultParagraphFont"/>
    <w:link w:val="Style5"/>
    <w:rPr>
      <w:b w:val="0"/>
      <w:bCs w:val="0"/>
      <w:i/>
      <w:iCs/>
      <w:u w:val="none"/>
      <w:strike w:val="0"/>
      <w:smallCaps w:val="0"/>
      <w:sz w:val="14"/>
      <w:szCs w:val="14"/>
      <w:rFonts w:ascii="MS Reference Sans Serif" w:eastAsia="MS Reference Sans Serif" w:hAnsi="MS Reference Sans Serif" w:cs="MS Reference Sans Serif"/>
      <w:spacing w:val="13"/>
    </w:rPr>
  </w:style>
  <w:style w:type="character" w:customStyle="1" w:styleId="CharStyle7">
    <w:name w:val="Gövde metni (3) + Küçük Büyük Harf"/>
    <w:basedOn w:val="CharStyle6"/>
    <w:rPr>
      <w:lang w:val="tr-TR"/>
      <w:smallCaps/>
      <w:w w:val="100"/>
      <w:color w:val="000000"/>
      <w:position w:val="0"/>
    </w:rPr>
  </w:style>
  <w:style w:type="character" w:customStyle="1" w:styleId="CharStyle9">
    <w:name w:val="Gövde metni (2)_"/>
    <w:basedOn w:val="DefaultParagraphFont"/>
    <w:link w:val="Style8"/>
    <w:rPr>
      <w:b/>
      <w:bCs/>
      <w:i w:val="0"/>
      <w:iCs w:val="0"/>
      <w:u w:val="none"/>
      <w:strike w:val="0"/>
      <w:smallCaps w:val="0"/>
      <w:sz w:val="17"/>
      <w:szCs w:val="17"/>
      <w:rFonts w:ascii="Arial Narrow" w:eastAsia="Arial Narrow" w:hAnsi="Arial Narrow" w:cs="Arial Narrow"/>
      <w:spacing w:val="3"/>
    </w:rPr>
  </w:style>
  <w:style w:type="character" w:customStyle="1" w:styleId="CharStyle11">
    <w:name w:val="Gövde metni_"/>
    <w:basedOn w:val="DefaultParagraphFont"/>
    <w:link w:val="Style10"/>
    <w:rPr>
      <w:b w:val="0"/>
      <w:bCs w:val="0"/>
      <w:i w:val="0"/>
      <w:iCs w:val="0"/>
      <w:u w:val="none"/>
      <w:strike w:val="0"/>
      <w:smallCaps w:val="0"/>
      <w:sz w:val="17"/>
      <w:szCs w:val="17"/>
      <w:rFonts w:ascii="Arial Narrow" w:eastAsia="Arial Narrow" w:hAnsi="Arial Narrow" w:cs="Arial Narrow"/>
      <w:spacing w:val="1"/>
    </w:rPr>
  </w:style>
  <w:style w:type="character" w:customStyle="1" w:styleId="CharStyle12">
    <w:name w:val="Gövde metni + Kalın,0 pt boşluk bırakılıyor"/>
    <w:basedOn w:val="CharStyle11"/>
    <w:rPr>
      <w:lang w:val="tr-TR"/>
      <w:b/>
      <w:bCs/>
      <w:w w:val="100"/>
      <w:spacing w:val="3"/>
      <w:color w:val="000000"/>
      <w:position w:val="0"/>
    </w:rPr>
  </w:style>
  <w:style w:type="character" w:customStyle="1" w:styleId="CharStyle13">
    <w:name w:val="Gövde metni (2) + Kalın Değil,0 pt boşluk bırakılıyor"/>
    <w:basedOn w:val="CharStyle9"/>
    <w:rPr>
      <w:lang w:val="tr-TR"/>
      <w:b/>
      <w:bCs/>
      <w:w w:val="100"/>
      <w:spacing w:val="1"/>
      <w:color w:val="000000"/>
      <w:position w:val="0"/>
    </w:rPr>
  </w:style>
  <w:style w:type="paragraph" w:customStyle="1" w:styleId="Style3">
    <w:name w:val="Başlık #1"/>
    <w:basedOn w:val="Normal"/>
    <w:link w:val="CharStyle4"/>
    <w:pPr>
      <w:widowControl w:val="0"/>
      <w:shd w:val="clear" w:color="auto" w:fill="FFFFFF"/>
      <w:outlineLvl w:val="0"/>
      <w:spacing w:after="60" w:line="298" w:lineRule="exact"/>
    </w:pPr>
    <w:rPr>
      <w:b/>
      <w:bCs/>
      <w:i w:val="0"/>
      <w:iCs w:val="0"/>
      <w:u w:val="none"/>
      <w:strike w:val="0"/>
      <w:smallCaps w:val="0"/>
      <w:sz w:val="23"/>
      <w:szCs w:val="23"/>
      <w:rFonts w:ascii="Arial Narrow" w:eastAsia="Arial Narrow" w:hAnsi="Arial Narrow" w:cs="Arial Narrow"/>
      <w:spacing w:val="4"/>
    </w:rPr>
  </w:style>
  <w:style w:type="paragraph" w:customStyle="1" w:styleId="Style5">
    <w:name w:val="Gövde metni (3)"/>
    <w:basedOn w:val="Normal"/>
    <w:link w:val="CharStyle6"/>
    <w:pPr>
      <w:widowControl w:val="0"/>
      <w:shd w:val="clear" w:color="auto" w:fill="FFFFFF"/>
      <w:spacing w:line="0" w:lineRule="exact"/>
    </w:pPr>
    <w:rPr>
      <w:b w:val="0"/>
      <w:bCs w:val="0"/>
      <w:i/>
      <w:iCs/>
      <w:u w:val="none"/>
      <w:strike w:val="0"/>
      <w:smallCaps w:val="0"/>
      <w:sz w:val="14"/>
      <w:szCs w:val="14"/>
      <w:rFonts w:ascii="MS Reference Sans Serif" w:eastAsia="MS Reference Sans Serif" w:hAnsi="MS Reference Sans Serif" w:cs="MS Reference Sans Serif"/>
      <w:spacing w:val="13"/>
    </w:rPr>
  </w:style>
  <w:style w:type="paragraph" w:customStyle="1" w:styleId="Style8">
    <w:name w:val="Gövde metni (2)"/>
    <w:basedOn w:val="Normal"/>
    <w:link w:val="CharStyle9"/>
    <w:pPr>
      <w:widowControl w:val="0"/>
      <w:shd w:val="clear" w:color="auto" w:fill="FFFFFF"/>
      <w:spacing w:before="60" w:line="216" w:lineRule="exact"/>
    </w:pPr>
    <w:rPr>
      <w:b/>
      <w:bCs/>
      <w:i w:val="0"/>
      <w:iCs w:val="0"/>
      <w:u w:val="none"/>
      <w:strike w:val="0"/>
      <w:smallCaps w:val="0"/>
      <w:sz w:val="17"/>
      <w:szCs w:val="17"/>
      <w:rFonts w:ascii="Arial Narrow" w:eastAsia="Arial Narrow" w:hAnsi="Arial Narrow" w:cs="Arial Narrow"/>
      <w:spacing w:val="3"/>
    </w:rPr>
  </w:style>
  <w:style w:type="paragraph" w:customStyle="1" w:styleId="Style10">
    <w:name w:val="Gövde metni"/>
    <w:basedOn w:val="Normal"/>
    <w:link w:val="CharStyle11"/>
    <w:pPr>
      <w:widowControl w:val="0"/>
      <w:shd w:val="clear" w:color="auto" w:fill="FFFFFF"/>
      <w:spacing w:line="216" w:lineRule="exact"/>
      <w:ind w:hanging="1600"/>
    </w:pPr>
    <w:rPr>
      <w:b w:val="0"/>
      <w:bCs w:val="0"/>
      <w:i w:val="0"/>
      <w:iCs w:val="0"/>
      <w:u w:val="none"/>
      <w:strike w:val="0"/>
      <w:smallCaps w:val="0"/>
      <w:sz w:val="17"/>
      <w:szCs w:val="17"/>
      <w:rFonts w:ascii="Arial Narrow" w:eastAsia="Arial Narrow" w:hAnsi="Arial Narrow" w:cs="Arial Narrow"/>
      <w:spacing w:val="1"/>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