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1B" w:rsidRDefault="00205415">
      <w:pPr>
        <w:pStyle w:val="Gvdemetni20"/>
        <w:framePr w:w="11866" w:h="1876" w:hRule="exact" w:wrap="none" w:vAnchor="page" w:hAnchor="page" w:x="2483" w:y="4159"/>
        <w:shd w:val="clear" w:color="auto" w:fill="auto"/>
        <w:spacing w:after="61" w:line="220" w:lineRule="exact"/>
        <w:ind w:right="160"/>
      </w:pPr>
      <w:r>
        <w:t>ANKARA - GÖLBAŞI BELEDİYE BAŞKANLIĞINDAN</w:t>
      </w:r>
    </w:p>
    <w:p w:rsidR="0014151B" w:rsidRDefault="00205415">
      <w:pPr>
        <w:pStyle w:val="Gvdemetni20"/>
        <w:framePr w:w="11866" w:h="1876" w:hRule="exact" w:wrap="none" w:vAnchor="page" w:hAnchor="page" w:x="2483" w:y="4159"/>
        <w:shd w:val="clear" w:color="auto" w:fill="auto"/>
        <w:spacing w:after="13" w:line="220" w:lineRule="exact"/>
        <w:ind w:right="160"/>
      </w:pPr>
      <w:r>
        <w:t>İLAN</w:t>
      </w:r>
    </w:p>
    <w:p w:rsidR="0014151B" w:rsidRDefault="00205415">
      <w:pPr>
        <w:pStyle w:val="Gvdemetni20"/>
        <w:framePr w:w="11866" w:h="1876" w:hRule="exact" w:wrap="none" w:vAnchor="page" w:hAnchor="page" w:x="2483" w:y="4159"/>
        <w:shd w:val="clear" w:color="auto" w:fill="auto"/>
        <w:spacing w:after="30" w:line="220" w:lineRule="exact"/>
        <w:ind w:right="160"/>
      </w:pPr>
      <w:r>
        <w:t>TAŞINMAZ MALLAR SATILACAKTIR</w:t>
      </w:r>
    </w:p>
    <w:p w:rsidR="0014151B" w:rsidRDefault="00205415">
      <w:pPr>
        <w:pStyle w:val="Gvdemetni0"/>
        <w:framePr w:w="11866" w:h="1876" w:hRule="exact" w:wrap="none" w:vAnchor="page" w:hAnchor="page" w:x="2483" w:y="4159"/>
        <w:shd w:val="clear" w:color="auto" w:fill="auto"/>
        <w:spacing w:before="0" w:after="0"/>
        <w:ind w:left="40" w:right="20"/>
      </w:pPr>
      <w:r>
        <w:t>Mülkiyeti Belediyemize ait 2 (İki) adet parsel ihale yoluyla satılacaktır. 1. sıradaki parselin ihalesi 2886 sayılı Devlet İhale Kanununun 36,maddesi uyarınca "Kapalı Teklif Usulü"</w:t>
      </w:r>
      <w:r>
        <w:t xml:space="preserve"> artırma suretiyle, 2. sıradaki parselin ihalesi aynı Kanunun 41. maddesine göre "Açık Teklif Usulü" ile </w:t>
      </w:r>
      <w:proofErr w:type="gramStart"/>
      <w:r>
        <w:t>11/12/2012</w:t>
      </w:r>
      <w:proofErr w:type="gramEnd"/>
      <w:r>
        <w:t xml:space="preserve"> Sah günü saat 14:00'de başlayarak </w:t>
      </w:r>
      <w:proofErr w:type="spellStart"/>
      <w:r>
        <w:t>Gaziosmanpşa</w:t>
      </w:r>
      <w:proofErr w:type="spellEnd"/>
      <w:r>
        <w:t xml:space="preserve"> Mahallesi Sahil Caddesi No:3 Gölbaşı/ANKARA adresindeki Belediyemiz Hizmet Binasında Encümen </w:t>
      </w:r>
      <w:r>
        <w:t xml:space="preserve">huzurunda yapılacaktır. İhale ile ilgili şartnameler Belediyemiz Mali Hizmetler </w:t>
      </w:r>
      <w:proofErr w:type="spellStart"/>
      <w:r>
        <w:t>Müdürlüğii'nden</w:t>
      </w:r>
      <w:proofErr w:type="spellEnd"/>
      <w:r>
        <w:t xml:space="preserve"> </w:t>
      </w:r>
      <w:proofErr w:type="gramStart"/>
      <w:r>
        <w:t>100.00</w:t>
      </w:r>
      <w:proofErr w:type="gramEnd"/>
      <w:r>
        <w:t>.-TL. (</w:t>
      </w:r>
      <w:proofErr w:type="spellStart"/>
      <w:r>
        <w:t>YüzTürkLirası</w:t>
      </w:r>
      <w:proofErr w:type="spellEnd"/>
      <w:r>
        <w:t>) bedeli mukabilinde temin edilir.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1282"/>
        <w:gridCol w:w="3739"/>
        <w:gridCol w:w="643"/>
        <w:gridCol w:w="701"/>
        <w:gridCol w:w="595"/>
        <w:gridCol w:w="653"/>
        <w:gridCol w:w="1042"/>
        <w:gridCol w:w="1320"/>
        <w:gridCol w:w="1378"/>
      </w:tblGrid>
      <w:tr w:rsidR="0014151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14151B">
            <w:pPr>
              <w:framePr w:w="11856" w:h="1594" w:wrap="none" w:vAnchor="page" w:hAnchor="page" w:x="2487" w:y="607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14151B">
            <w:pPr>
              <w:framePr w:w="11856" w:h="1594" w:wrap="none" w:vAnchor="page" w:hAnchor="page" w:x="2487" w:y="6074"/>
              <w:rPr>
                <w:sz w:val="10"/>
                <w:szCs w:val="10"/>
              </w:rPr>
            </w:pPr>
          </w:p>
        </w:tc>
        <w:tc>
          <w:tcPr>
            <w:tcW w:w="869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Gvdemetni1"/>
              </w:rPr>
              <w:t>İHALE EDİLECEK TAŞINMAZ MALIN NİTELİKLERİ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B" w:rsidRDefault="0014151B">
            <w:pPr>
              <w:framePr w:w="11856" w:h="1594" w:wrap="none" w:vAnchor="page" w:hAnchor="page" w:x="2487" w:y="6074"/>
              <w:rPr>
                <w:sz w:val="10"/>
                <w:szCs w:val="10"/>
              </w:rPr>
            </w:pPr>
          </w:p>
        </w:tc>
      </w:tr>
      <w:tr w:rsidR="0014151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14151B">
            <w:pPr>
              <w:framePr w:w="11856" w:h="1594" w:wrap="none" w:vAnchor="page" w:hAnchor="page" w:x="2487" w:y="607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14151B">
            <w:pPr>
              <w:framePr w:w="11856" w:h="1594" w:wrap="none" w:vAnchor="page" w:hAnchor="page" w:x="2487" w:y="6074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14151B">
            <w:pPr>
              <w:framePr w:w="11856" w:h="1594" w:wrap="none" w:vAnchor="page" w:hAnchor="page" w:x="2487" w:y="607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14151B">
            <w:pPr>
              <w:framePr w:w="11856" w:h="1594" w:wrap="none" w:vAnchor="page" w:hAnchor="page" w:x="2487" w:y="607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14151B">
            <w:pPr>
              <w:framePr w:w="11856" w:h="1594" w:wrap="none" w:vAnchor="page" w:hAnchor="page" w:x="2487" w:y="6074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14151B">
            <w:pPr>
              <w:framePr w:w="11856" w:h="1594" w:wrap="none" w:vAnchor="page" w:hAnchor="page" w:x="2487" w:y="6074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14151B">
            <w:pPr>
              <w:framePr w:w="11856" w:h="1594" w:wrap="none" w:vAnchor="page" w:hAnchor="page" w:x="2487" w:y="607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14151B">
            <w:pPr>
              <w:framePr w:w="11856" w:h="1594" w:wrap="none" w:vAnchor="page" w:hAnchor="page" w:x="2487" w:y="607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14151B">
            <w:pPr>
              <w:framePr w:w="11856" w:h="1594" w:wrap="none" w:vAnchor="page" w:hAnchor="page" w:x="2487" w:y="6074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B" w:rsidRDefault="0014151B">
            <w:pPr>
              <w:framePr w:w="11856" w:h="1594" w:wrap="none" w:vAnchor="page" w:hAnchor="page" w:x="2487" w:y="6074"/>
              <w:rPr>
                <w:sz w:val="10"/>
                <w:szCs w:val="10"/>
              </w:rPr>
            </w:pPr>
          </w:p>
        </w:tc>
      </w:tr>
      <w:tr w:rsidR="0014151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Gvdemetni1"/>
              </w:rPr>
              <w:t>S.NO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Gvdemetni1"/>
              </w:rPr>
              <w:t>MAHALLESİ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20" w:firstLine="0"/>
              <w:jc w:val="left"/>
            </w:pPr>
            <w:r>
              <w:rPr>
                <w:rStyle w:val="Gvdemetni1"/>
              </w:rPr>
              <w:t>KULLANIM SEKLİ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Gvdemetni1"/>
              </w:rPr>
              <w:t>ADA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Gvdemetni1"/>
              </w:rPr>
              <w:t>PARSEL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Gvdemetni1"/>
              </w:rPr>
              <w:t>ALANI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Gvdemetni1"/>
              </w:rPr>
              <w:t>HİSSE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Gvdemetni1"/>
              </w:rPr>
              <w:t>BİRİM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Gvdemetni1"/>
              </w:rPr>
              <w:t>TUTARI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20" w:lineRule="exact"/>
              <w:ind w:left="40" w:firstLine="0"/>
              <w:jc w:val="left"/>
            </w:pPr>
            <w:r>
              <w:rPr>
                <w:rStyle w:val="Gvdemetni6pt0ptbolukbraklyor"/>
              </w:rPr>
              <w:t>GECİCİ TEMİNAT</w:t>
            </w:r>
          </w:p>
        </w:tc>
      </w:tr>
      <w:tr w:rsidR="0014151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14151B" w:rsidRDefault="0014151B">
            <w:pPr>
              <w:framePr w:w="11856" w:h="1594" w:wrap="none" w:vAnchor="page" w:hAnchor="page" w:x="2487" w:y="607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14151B">
            <w:pPr>
              <w:framePr w:w="11856" w:h="1594" w:wrap="none" w:vAnchor="page" w:hAnchor="page" w:x="2487" w:y="6074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14151B">
            <w:pPr>
              <w:framePr w:w="11856" w:h="1594" w:wrap="none" w:vAnchor="page" w:hAnchor="page" w:x="2487" w:y="6074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14151B">
            <w:pPr>
              <w:framePr w:w="11856" w:h="1594" w:wrap="none" w:vAnchor="page" w:hAnchor="page" w:x="2487" w:y="607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14151B">
            <w:pPr>
              <w:framePr w:w="11856" w:h="1594" w:wrap="none" w:vAnchor="page" w:hAnchor="page" w:x="2487" w:y="6074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Gvdemetni1"/>
              </w:rPr>
              <w:t>(M2)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Gvdemetni1"/>
              </w:rPr>
              <w:t>(M2)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Gvdemetni1"/>
              </w:rPr>
              <w:t>FİYATİ(TL)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Gvdemetni1"/>
              </w:rPr>
              <w:t>(TL)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20" w:lineRule="exact"/>
              <w:ind w:left="40" w:firstLine="0"/>
              <w:jc w:val="left"/>
            </w:pPr>
            <w:r>
              <w:rPr>
                <w:rStyle w:val="Gvdemetni6pt0ptbolukbraklyor"/>
              </w:rPr>
              <w:t xml:space="preserve">BEDELİ </w:t>
            </w:r>
            <w:proofErr w:type="gramStart"/>
            <w:r>
              <w:rPr>
                <w:rStyle w:val="Gvdemetni6pt0ptbolukbraklyor"/>
              </w:rPr>
              <w:t>(</w:t>
            </w:r>
            <w:proofErr w:type="gramEnd"/>
            <w:r>
              <w:rPr>
                <w:rStyle w:val="Gvdemetni6pt0ptbolukbraklyor"/>
              </w:rPr>
              <w:t>TU</w:t>
            </w:r>
          </w:p>
        </w:tc>
      </w:tr>
      <w:tr w:rsidR="0014151B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Gvdemetni1"/>
              </w:rPr>
              <w:t>VİRANCIK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20" w:firstLine="0"/>
              <w:jc w:val="left"/>
            </w:pPr>
            <w:r>
              <w:rPr>
                <w:rStyle w:val="Gvdemetni1"/>
              </w:rPr>
              <w:t xml:space="preserve">Konut Alanı </w:t>
            </w:r>
            <w:proofErr w:type="gramStart"/>
            <w:r>
              <w:rPr>
                <w:rStyle w:val="Gvdemetni1"/>
              </w:rPr>
              <w:t>(</w:t>
            </w:r>
            <w:proofErr w:type="gramEnd"/>
            <w:r>
              <w:rPr>
                <w:rStyle w:val="Gvdemetni1"/>
              </w:rPr>
              <w:t xml:space="preserve">İAKS=0,25,KAKAS=1,00, </w:t>
            </w:r>
            <w:proofErr w:type="spellStart"/>
            <w:r>
              <w:rPr>
                <w:rStyle w:val="Gvdemetni1"/>
              </w:rPr>
              <w:t>Hmax</w:t>
            </w:r>
            <w:proofErr w:type="spellEnd"/>
            <w:r>
              <w:rPr>
                <w:rStyle w:val="Gvdemetni1"/>
              </w:rPr>
              <w:t>: 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Gvdemetni1"/>
              </w:rPr>
              <w:t>112583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Gvdemetni1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Gvdemetni1"/>
              </w:rPr>
              <w:t>4247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Gvdemetni1"/>
              </w:rPr>
              <w:t>Tam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Gvdemetni1"/>
              </w:rPr>
              <w:t>380.00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Gvdemetni1"/>
              </w:rPr>
              <w:t>1,613,860.00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20" w:lineRule="exact"/>
              <w:ind w:left="40" w:firstLine="0"/>
              <w:jc w:val="left"/>
            </w:pPr>
            <w:r>
              <w:rPr>
                <w:rStyle w:val="Gvdemetni6pt0ptbolukbraklyor"/>
              </w:rPr>
              <w:t>48,413.80</w:t>
            </w:r>
          </w:p>
        </w:tc>
      </w:tr>
      <w:tr w:rsidR="0014151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240" w:firstLine="0"/>
              <w:jc w:val="left"/>
            </w:pPr>
            <w:r>
              <w:rPr>
                <w:rStyle w:val="Gvdemetni1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Gvdemetni1"/>
              </w:rPr>
              <w:t>VİRANCIK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20" w:firstLine="0"/>
              <w:jc w:val="left"/>
            </w:pPr>
            <w:r>
              <w:rPr>
                <w:rStyle w:val="Gvdemetni1"/>
              </w:rPr>
              <w:t xml:space="preserve">Konut Alanı </w:t>
            </w:r>
            <w:proofErr w:type="gramStart"/>
            <w:r>
              <w:rPr>
                <w:rStyle w:val="Gvdemetni1"/>
              </w:rPr>
              <w:t>(</w:t>
            </w:r>
            <w:proofErr w:type="gramEnd"/>
            <w:r>
              <w:rPr>
                <w:rStyle w:val="Gvdemetni1"/>
              </w:rPr>
              <w:t xml:space="preserve">İAKS=0,25,KAKAS=1,00, </w:t>
            </w:r>
            <w:proofErr w:type="spellStart"/>
            <w:r>
              <w:rPr>
                <w:rStyle w:val="Gvdemetni1"/>
              </w:rPr>
              <w:t>Htrm</w:t>
            </w:r>
            <w:proofErr w:type="spellEnd"/>
            <w:r>
              <w:rPr>
                <w:rStyle w:val="Gvdemetni1"/>
              </w:rPr>
              <w:t>: 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80" w:firstLine="0"/>
              <w:jc w:val="left"/>
            </w:pPr>
            <w:r>
              <w:rPr>
                <w:rStyle w:val="Gvdemetni1"/>
              </w:rPr>
              <w:t>112587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Gvdemetni1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Gvdemetni1"/>
              </w:rPr>
              <w:t>1582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140" w:firstLine="0"/>
              <w:jc w:val="left"/>
            </w:pPr>
            <w:r>
              <w:rPr>
                <w:rStyle w:val="Gvdemetni1"/>
              </w:rPr>
              <w:t>Tam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60" w:firstLine="0"/>
              <w:jc w:val="left"/>
            </w:pPr>
            <w:r>
              <w:rPr>
                <w:rStyle w:val="Gvdemetni1"/>
              </w:rPr>
              <w:t>332.00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60" w:lineRule="exact"/>
              <w:ind w:left="40" w:firstLine="0"/>
              <w:jc w:val="left"/>
            </w:pPr>
            <w:r>
              <w:rPr>
                <w:rStyle w:val="Gvdemetni1"/>
              </w:rPr>
              <w:t>525,224.00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1B" w:rsidRDefault="00205415">
            <w:pPr>
              <w:pStyle w:val="Gvdemetni0"/>
              <w:framePr w:w="11856" w:h="1594" w:wrap="none" w:vAnchor="page" w:hAnchor="page" w:x="2487" w:y="6074"/>
              <w:shd w:val="clear" w:color="auto" w:fill="auto"/>
              <w:spacing w:before="0" w:after="0" w:line="120" w:lineRule="exact"/>
              <w:ind w:left="40" w:firstLine="0"/>
              <w:jc w:val="left"/>
            </w:pPr>
            <w:r>
              <w:rPr>
                <w:rStyle w:val="Gvdemetni6pt0ptbolukbraklyor"/>
              </w:rPr>
              <w:t>15,756.72</w:t>
            </w:r>
          </w:p>
        </w:tc>
      </w:tr>
    </w:tbl>
    <w:p w:rsidR="0014151B" w:rsidRDefault="0014151B">
      <w:pPr>
        <w:pStyle w:val="Tabloyazs0"/>
        <w:framePr w:wrap="none" w:vAnchor="page" w:hAnchor="page" w:x="12308" w:y="7658"/>
        <w:shd w:val="clear" w:color="auto" w:fill="auto"/>
        <w:spacing w:line="120" w:lineRule="exact"/>
      </w:pPr>
      <w:hyperlink r:id="rId6" w:history="1">
        <w:r w:rsidR="00205415">
          <w:rPr>
            <w:rStyle w:val="Kpr"/>
            <w:lang w:val="en-US"/>
          </w:rPr>
          <w:t>www.bik.gov.tr</w:t>
        </w:r>
      </w:hyperlink>
      <w:r w:rsidR="00205415">
        <w:rPr>
          <w:rStyle w:val="Tabloyazs1"/>
          <w:lang w:val="en-US"/>
        </w:rPr>
        <w:t xml:space="preserve"> </w:t>
      </w:r>
      <w:r w:rsidR="00205415">
        <w:rPr>
          <w:rStyle w:val="Tabloyazs1"/>
        </w:rPr>
        <w:t>- Basın No: 16516</w:t>
      </w:r>
    </w:p>
    <w:p w:rsidR="0014151B" w:rsidRDefault="0014151B">
      <w:pPr>
        <w:rPr>
          <w:sz w:val="2"/>
          <w:szCs w:val="2"/>
        </w:rPr>
      </w:pPr>
    </w:p>
    <w:sectPr w:rsidR="0014151B" w:rsidSect="0014151B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15" w:rsidRDefault="00205415" w:rsidP="0014151B">
      <w:r>
        <w:separator/>
      </w:r>
    </w:p>
  </w:endnote>
  <w:endnote w:type="continuationSeparator" w:id="0">
    <w:p w:rsidR="00205415" w:rsidRDefault="00205415" w:rsidP="0014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15" w:rsidRDefault="00205415"/>
  </w:footnote>
  <w:footnote w:type="continuationSeparator" w:id="0">
    <w:p w:rsidR="00205415" w:rsidRDefault="0020541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4151B"/>
    <w:rsid w:val="00004B11"/>
    <w:rsid w:val="0014151B"/>
    <w:rsid w:val="0020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151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4151B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141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sid w:val="00141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Gvdemetni1">
    <w:name w:val="Gövde metni"/>
    <w:basedOn w:val="Gvdemetni"/>
    <w:rsid w:val="0014151B"/>
    <w:rPr>
      <w:color w:val="000000"/>
      <w:w w:val="100"/>
      <w:position w:val="0"/>
      <w:lang w:val="tr-TR"/>
    </w:rPr>
  </w:style>
  <w:style w:type="character" w:customStyle="1" w:styleId="Gvdemetni6pt0ptbolukbraklyor">
    <w:name w:val="Gövde metni + 6 pt;0 pt boşluk bırakılıyor"/>
    <w:basedOn w:val="Gvdemetni"/>
    <w:rsid w:val="0014151B"/>
    <w:rPr>
      <w:color w:val="000000"/>
      <w:spacing w:val="0"/>
      <w:w w:val="100"/>
      <w:position w:val="0"/>
      <w:sz w:val="12"/>
      <w:szCs w:val="12"/>
      <w:lang w:val="tr-TR"/>
    </w:rPr>
  </w:style>
  <w:style w:type="character" w:customStyle="1" w:styleId="Tabloyazs">
    <w:name w:val="Tablo yazısı_"/>
    <w:basedOn w:val="VarsaylanParagrafYazTipi"/>
    <w:link w:val="Tabloyazs0"/>
    <w:rsid w:val="001415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oyazs1">
    <w:name w:val="Tablo yazısı"/>
    <w:basedOn w:val="Tabloyazs"/>
    <w:rsid w:val="0014151B"/>
    <w:rPr>
      <w:color w:val="000000"/>
      <w:spacing w:val="0"/>
      <w:w w:val="100"/>
      <w:position w:val="0"/>
      <w:u w:val="single"/>
      <w:lang w:val="tr-TR"/>
    </w:rPr>
  </w:style>
  <w:style w:type="paragraph" w:customStyle="1" w:styleId="Gvdemetni20">
    <w:name w:val="Gövde metni (2)"/>
    <w:basedOn w:val="Normal"/>
    <w:link w:val="Gvdemetni2"/>
    <w:rsid w:val="0014151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5"/>
      <w:sz w:val="22"/>
      <w:szCs w:val="22"/>
    </w:rPr>
  </w:style>
  <w:style w:type="paragraph" w:customStyle="1" w:styleId="Gvdemetni0">
    <w:name w:val="Gövde metni"/>
    <w:basedOn w:val="Normal"/>
    <w:link w:val="Gvdemetni"/>
    <w:rsid w:val="0014151B"/>
    <w:pPr>
      <w:shd w:val="clear" w:color="auto" w:fill="FFFFFF"/>
      <w:spacing w:before="60" w:after="60" w:line="192" w:lineRule="exact"/>
      <w:ind w:firstLine="520"/>
      <w:jc w:val="both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Tabloyazs0">
    <w:name w:val="Tablo yazısı"/>
    <w:basedOn w:val="Normal"/>
    <w:link w:val="Tabloyazs"/>
    <w:rsid w:val="001415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2012-11-26T09:08:00Z</dcterms:created>
  <dcterms:modified xsi:type="dcterms:W3CDTF">2012-11-26T09:10:00Z</dcterms:modified>
</cp:coreProperties>
</file>