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36B" w:rsidRDefault="0071736B" w:rsidP="00A42F71">
      <w:pPr>
        <w:spacing w:before="0" w:beforeAutospacing="0" w:after="0"/>
        <w:rPr>
          <w:color w:val="000000" w:themeColor="text1"/>
          <w:szCs w:val="24"/>
          <w:u w:val="single"/>
        </w:rPr>
      </w:pPr>
      <w:bookmarkStart w:id="0" w:name="_GoBack"/>
      <w:bookmarkEnd w:id="0"/>
      <w:r w:rsidRPr="0071736B">
        <w:rPr>
          <w:color w:val="000000" w:themeColor="text1"/>
          <w:szCs w:val="24"/>
          <w:u w:val="single"/>
        </w:rPr>
        <w:t>Çevre ve Şehircilik Bakanlığından:</w:t>
      </w:r>
    </w:p>
    <w:p w:rsidR="0071736B" w:rsidRPr="0071736B" w:rsidRDefault="0071736B" w:rsidP="00A42F71">
      <w:pPr>
        <w:spacing w:before="0" w:beforeAutospacing="0" w:after="0"/>
        <w:rPr>
          <w:rFonts w:eastAsia="Times New Roman"/>
          <w:szCs w:val="24"/>
          <w:u w:val="single"/>
          <w:lang w:eastAsia="tr-TR"/>
        </w:rPr>
      </w:pPr>
    </w:p>
    <w:p w:rsidR="00870BCB" w:rsidRPr="00CD7B0A" w:rsidRDefault="00870BCB" w:rsidP="00A42F71">
      <w:pPr>
        <w:spacing w:before="0" w:beforeAutospacing="0" w:after="0"/>
        <w:jc w:val="center"/>
        <w:rPr>
          <w:rFonts w:eastAsia="Times New Roman"/>
          <w:b/>
          <w:szCs w:val="24"/>
          <w:lang w:eastAsia="tr-TR"/>
        </w:rPr>
      </w:pPr>
      <w:r w:rsidRPr="00CD7B0A">
        <w:rPr>
          <w:rFonts w:eastAsia="Times New Roman"/>
          <w:b/>
          <w:szCs w:val="24"/>
          <w:lang w:eastAsia="tr-TR"/>
        </w:rPr>
        <w:t>YAPI DENETİMİ UYGULAMA YÖNETMELİĞİNDE DEĞİŞİKLİK YAPILMASINA DAİR YÖNETMELİK</w:t>
      </w:r>
      <w:r w:rsidR="00B6525B">
        <w:rPr>
          <w:rFonts w:eastAsia="Times New Roman"/>
          <w:b/>
          <w:szCs w:val="24"/>
          <w:lang w:eastAsia="tr-TR"/>
        </w:rPr>
        <w:t xml:space="preserve"> TASLAĞI</w:t>
      </w:r>
    </w:p>
    <w:p w:rsidR="00870BCB" w:rsidRPr="0071736B" w:rsidRDefault="00870BCB">
      <w:pPr>
        <w:spacing w:before="0" w:beforeAutospacing="0" w:after="0"/>
        <w:rPr>
          <w:b/>
          <w:bCs/>
          <w:szCs w:val="24"/>
        </w:rPr>
      </w:pPr>
    </w:p>
    <w:p w:rsidR="00D92D17" w:rsidRDefault="00870BCB">
      <w:pPr>
        <w:spacing w:before="0" w:beforeAutospacing="0" w:after="0"/>
        <w:rPr>
          <w:color w:val="000000" w:themeColor="text1"/>
          <w:szCs w:val="24"/>
        </w:rPr>
      </w:pPr>
      <w:r w:rsidRPr="0071736B">
        <w:rPr>
          <w:b/>
          <w:color w:val="000000" w:themeColor="text1"/>
          <w:szCs w:val="24"/>
        </w:rPr>
        <w:t>MADDE 1 -</w:t>
      </w:r>
      <w:r w:rsidR="008A3F10" w:rsidRPr="0071736B">
        <w:rPr>
          <w:color w:val="000000" w:themeColor="text1"/>
          <w:szCs w:val="24"/>
        </w:rPr>
        <w:t xml:space="preserve"> 5/</w:t>
      </w:r>
      <w:r w:rsidRPr="0071736B">
        <w:rPr>
          <w:color w:val="000000" w:themeColor="text1"/>
          <w:szCs w:val="24"/>
        </w:rPr>
        <w:t>2/2008 tarihli ve 26778 sayılı Resmi Gazete’de yayımlanan Yapı Den</w:t>
      </w:r>
      <w:r w:rsidR="00E40859">
        <w:rPr>
          <w:color w:val="000000" w:themeColor="text1"/>
          <w:szCs w:val="24"/>
        </w:rPr>
        <w:t>etimi Uygulama Yönetmeliğinin 1’</w:t>
      </w:r>
      <w:r w:rsidRPr="0071736B">
        <w:rPr>
          <w:color w:val="000000" w:themeColor="text1"/>
          <w:szCs w:val="24"/>
        </w:rPr>
        <w:t>inci maddesi</w:t>
      </w:r>
      <w:r w:rsidR="00D92D17">
        <w:rPr>
          <w:color w:val="000000" w:themeColor="text1"/>
          <w:szCs w:val="24"/>
        </w:rPr>
        <w:t>nin bir</w:t>
      </w:r>
      <w:r w:rsidR="00EC6367">
        <w:rPr>
          <w:color w:val="000000" w:themeColor="text1"/>
          <w:szCs w:val="24"/>
        </w:rPr>
        <w:t xml:space="preserve">inci fıkrasında </w:t>
      </w:r>
      <w:r w:rsidR="00D92D17">
        <w:rPr>
          <w:color w:val="000000" w:themeColor="text1"/>
          <w:szCs w:val="24"/>
        </w:rPr>
        <w:t>yer alan yapılara sertifika verilmesi ibaresinden sonra gelmek üzere “</w:t>
      </w:r>
      <w:r w:rsidR="001C0447" w:rsidRPr="001C0447">
        <w:rPr>
          <w:rFonts w:eastAsia="MS Mincho"/>
        </w:rPr>
        <w:t>yapı denetim ve laboratuar kuruluşlarından alınacak teminatın türü, tutarı, iadesi ile irad kaydedilmesi</w:t>
      </w:r>
      <w:r w:rsidR="00D92D17">
        <w:rPr>
          <w:color w:val="000000" w:themeColor="text1"/>
          <w:szCs w:val="24"/>
        </w:rPr>
        <w:t>” ibaresi eklenmiştir.</w:t>
      </w:r>
    </w:p>
    <w:p w:rsidR="00D92D17" w:rsidRDefault="00D92D17">
      <w:pPr>
        <w:spacing w:before="0" w:beforeAutospacing="0" w:after="0"/>
        <w:rPr>
          <w:color w:val="000000" w:themeColor="text1"/>
          <w:szCs w:val="24"/>
        </w:rPr>
      </w:pPr>
    </w:p>
    <w:p w:rsidR="00D92D17" w:rsidRDefault="00F82D5A" w:rsidP="00A42F71">
      <w:pPr>
        <w:spacing w:before="0" w:beforeAutospacing="0" w:after="0"/>
        <w:rPr>
          <w:color w:val="000000" w:themeColor="text1"/>
          <w:szCs w:val="24"/>
        </w:rPr>
      </w:pPr>
      <w:r>
        <w:rPr>
          <w:b/>
          <w:color w:val="000000" w:themeColor="text1"/>
          <w:szCs w:val="24"/>
        </w:rPr>
        <w:t>MADDE 2</w:t>
      </w:r>
      <w:r w:rsidRPr="0071736B">
        <w:rPr>
          <w:b/>
          <w:color w:val="000000" w:themeColor="text1"/>
          <w:szCs w:val="24"/>
        </w:rPr>
        <w:t xml:space="preserve">- </w:t>
      </w:r>
      <w:r w:rsidRPr="0071736B">
        <w:rPr>
          <w:color w:val="000000" w:themeColor="text1"/>
          <w:szCs w:val="24"/>
        </w:rPr>
        <w:t xml:space="preserve"> Aynı Yönetmeliğ</w:t>
      </w:r>
      <w:r>
        <w:rPr>
          <w:color w:val="000000" w:themeColor="text1"/>
          <w:szCs w:val="24"/>
        </w:rPr>
        <w:t xml:space="preserve">in </w:t>
      </w:r>
      <w:r w:rsidR="00D92D17">
        <w:rPr>
          <w:color w:val="000000" w:themeColor="text1"/>
          <w:szCs w:val="24"/>
        </w:rPr>
        <w:t>2</w:t>
      </w:r>
      <w:r w:rsidR="00E40859">
        <w:rPr>
          <w:color w:val="000000" w:themeColor="text1"/>
          <w:szCs w:val="24"/>
        </w:rPr>
        <w:t>’</w:t>
      </w:r>
      <w:r w:rsidR="00D92D17">
        <w:rPr>
          <w:color w:val="000000" w:themeColor="text1"/>
          <w:szCs w:val="24"/>
        </w:rPr>
        <w:t xml:space="preserve">nci maddesinin birinci </w:t>
      </w:r>
      <w:r w:rsidR="00EC6367">
        <w:rPr>
          <w:color w:val="000000" w:themeColor="text1"/>
          <w:szCs w:val="24"/>
        </w:rPr>
        <w:t xml:space="preserve">fıkrası </w:t>
      </w:r>
      <w:r w:rsidR="00D92D17">
        <w:rPr>
          <w:color w:val="000000" w:themeColor="text1"/>
          <w:szCs w:val="24"/>
        </w:rPr>
        <w:t>aşağıdaki şekilde değiştirilmiştir.</w:t>
      </w:r>
    </w:p>
    <w:p w:rsidR="00D92D17" w:rsidRDefault="00D92D17" w:rsidP="00D92D17">
      <w:pPr>
        <w:spacing w:before="0" w:beforeAutospacing="0" w:after="0"/>
        <w:rPr>
          <w:rFonts w:eastAsia="MS Mincho"/>
        </w:rPr>
      </w:pPr>
      <w:r>
        <w:rPr>
          <w:rFonts w:eastAsia="MS Mincho"/>
          <w:b/>
          <w:bCs/>
        </w:rPr>
        <w:t>“</w:t>
      </w:r>
      <w:r w:rsidRPr="00807920">
        <w:rPr>
          <w:rFonts w:eastAsia="MS Mincho"/>
        </w:rPr>
        <w:t>(1) Bu Yönetmelik, 4708 sayılı Yapı</w:t>
      </w:r>
      <w:r w:rsidR="00AD4FC1">
        <w:rPr>
          <w:rFonts w:eastAsia="MS Mincho"/>
        </w:rPr>
        <w:t xml:space="preserve"> Denetimi Hakkında Kanunun </w:t>
      </w:r>
      <w:r w:rsidR="008D1EF7">
        <w:rPr>
          <w:rFonts w:eastAsia="MS Mincho"/>
        </w:rPr>
        <w:t>4</w:t>
      </w:r>
      <w:r w:rsidR="001E3F3A">
        <w:rPr>
          <w:rFonts w:eastAsia="MS Mincho"/>
        </w:rPr>
        <w:t>’</w:t>
      </w:r>
      <w:r w:rsidR="008D1EF7">
        <w:rPr>
          <w:rFonts w:eastAsia="MS Mincho"/>
        </w:rPr>
        <w:t xml:space="preserve">ncü, </w:t>
      </w:r>
      <w:r>
        <w:rPr>
          <w:rFonts w:eastAsia="MS Mincho"/>
        </w:rPr>
        <w:t>8’inci</w:t>
      </w:r>
      <w:r w:rsidRPr="00807920">
        <w:rPr>
          <w:rFonts w:eastAsia="MS Mincho"/>
        </w:rPr>
        <w:t xml:space="preserve"> ve 12’nci maddeleri ile </w:t>
      </w:r>
      <w:r w:rsidR="00B151AC">
        <w:rPr>
          <w:rFonts w:eastAsia="MS Mincho"/>
        </w:rPr>
        <w:t>29</w:t>
      </w:r>
      <w:r w:rsidRPr="0033213F">
        <w:rPr>
          <w:rFonts w:eastAsia="MS Mincho"/>
        </w:rPr>
        <w:t>/</w:t>
      </w:r>
      <w:r w:rsidR="00B151AC">
        <w:rPr>
          <w:rFonts w:eastAsia="MS Mincho"/>
        </w:rPr>
        <w:t>6</w:t>
      </w:r>
      <w:r w:rsidRPr="0033213F">
        <w:rPr>
          <w:rFonts w:eastAsia="MS Mincho"/>
        </w:rPr>
        <w:t xml:space="preserve">/2011 tarihli ve 644 sayılı Çevre ve Şehircilik Bakanlığının Teşkilat ve Görevleri Hakkında Kanun Hükmünde Kararnamenin </w:t>
      </w:r>
      <w:r w:rsidR="001E3F3A">
        <w:rPr>
          <w:rFonts w:eastAsia="MS Mincho"/>
        </w:rPr>
        <w:t>33’ü</w:t>
      </w:r>
      <w:r w:rsidR="002E47C5">
        <w:rPr>
          <w:rFonts w:eastAsia="MS Mincho"/>
        </w:rPr>
        <w:t xml:space="preserve">ncü maddesine </w:t>
      </w:r>
      <w:r w:rsidRPr="0033213F">
        <w:rPr>
          <w:rFonts w:eastAsia="MS Mincho"/>
        </w:rPr>
        <w:t>dayanılarak</w:t>
      </w:r>
      <w:r>
        <w:rPr>
          <w:rFonts w:eastAsia="MS Mincho"/>
        </w:rPr>
        <w:t xml:space="preserve"> </w:t>
      </w:r>
      <w:r w:rsidRPr="00807920">
        <w:rPr>
          <w:rFonts w:eastAsia="MS Mincho"/>
        </w:rPr>
        <w:t>hazırlanmıştır.</w:t>
      </w:r>
      <w:r>
        <w:rPr>
          <w:rFonts w:eastAsia="MS Mincho"/>
        </w:rPr>
        <w:t>”</w:t>
      </w:r>
      <w:r w:rsidRPr="00807920">
        <w:rPr>
          <w:rFonts w:eastAsia="MS Mincho"/>
        </w:rPr>
        <w:t xml:space="preserve"> </w:t>
      </w:r>
    </w:p>
    <w:p w:rsidR="00D92D17" w:rsidRDefault="00D92D17" w:rsidP="00A42F71">
      <w:pPr>
        <w:spacing w:before="0" w:beforeAutospacing="0" w:after="0"/>
        <w:rPr>
          <w:color w:val="000000" w:themeColor="text1"/>
          <w:szCs w:val="24"/>
        </w:rPr>
      </w:pPr>
    </w:p>
    <w:p w:rsidR="00EC6367" w:rsidRDefault="00D92D17" w:rsidP="00EC6367">
      <w:pPr>
        <w:spacing w:before="0" w:beforeAutospacing="0" w:after="0"/>
        <w:rPr>
          <w:color w:val="000000" w:themeColor="text1"/>
          <w:szCs w:val="24"/>
        </w:rPr>
      </w:pPr>
      <w:r w:rsidRPr="0071736B">
        <w:rPr>
          <w:b/>
          <w:color w:val="000000" w:themeColor="text1"/>
          <w:szCs w:val="24"/>
        </w:rPr>
        <w:t xml:space="preserve">MADDE </w:t>
      </w:r>
      <w:r>
        <w:rPr>
          <w:b/>
          <w:color w:val="000000" w:themeColor="text1"/>
          <w:szCs w:val="24"/>
        </w:rPr>
        <w:t>3</w:t>
      </w:r>
      <w:r w:rsidRPr="0071736B">
        <w:rPr>
          <w:b/>
          <w:color w:val="000000" w:themeColor="text1"/>
          <w:szCs w:val="24"/>
        </w:rPr>
        <w:t xml:space="preserve"> -</w:t>
      </w:r>
      <w:r w:rsidRPr="0071736B">
        <w:rPr>
          <w:color w:val="000000" w:themeColor="text1"/>
          <w:szCs w:val="24"/>
        </w:rPr>
        <w:t xml:space="preserve">  Aynı Yönetmeliğin </w:t>
      </w:r>
      <w:r w:rsidR="00EC6367">
        <w:rPr>
          <w:color w:val="000000" w:themeColor="text1"/>
          <w:szCs w:val="24"/>
        </w:rPr>
        <w:t>3</w:t>
      </w:r>
      <w:r w:rsidR="00E40859">
        <w:rPr>
          <w:color w:val="000000" w:themeColor="text1"/>
          <w:szCs w:val="24"/>
        </w:rPr>
        <w:t>’</w:t>
      </w:r>
      <w:r w:rsidR="00EC6367">
        <w:rPr>
          <w:color w:val="000000" w:themeColor="text1"/>
          <w:szCs w:val="24"/>
        </w:rPr>
        <w:t>üncü</w:t>
      </w:r>
      <w:r w:rsidRPr="0071736B">
        <w:rPr>
          <w:color w:val="000000" w:themeColor="text1"/>
          <w:szCs w:val="24"/>
        </w:rPr>
        <w:t xml:space="preserve"> maddesinin </w:t>
      </w:r>
      <w:r w:rsidR="00EC6367">
        <w:rPr>
          <w:color w:val="000000" w:themeColor="text1"/>
          <w:szCs w:val="24"/>
        </w:rPr>
        <w:t>birinci fıkrasının (j</w:t>
      </w:r>
      <w:r w:rsidRPr="0071736B">
        <w:rPr>
          <w:color w:val="000000" w:themeColor="text1"/>
          <w:szCs w:val="24"/>
        </w:rPr>
        <w:t>) bendi</w:t>
      </w:r>
      <w:r w:rsidR="00EC6367">
        <w:rPr>
          <w:color w:val="000000" w:themeColor="text1"/>
          <w:szCs w:val="24"/>
        </w:rPr>
        <w:t>nden sonra gelmek üzere aşağıdaki bent eklenmiş ve diğer bentler buna göre teselsül ettirilmiştir.</w:t>
      </w:r>
      <w:r w:rsidRPr="0071736B">
        <w:rPr>
          <w:color w:val="000000" w:themeColor="text1"/>
          <w:szCs w:val="24"/>
        </w:rPr>
        <w:t xml:space="preserve"> </w:t>
      </w:r>
    </w:p>
    <w:p w:rsidR="00C33D07" w:rsidRDefault="00EC6367" w:rsidP="00792FB2">
      <w:pPr>
        <w:spacing w:before="0" w:beforeAutospacing="0" w:after="0"/>
        <w:rPr>
          <w:rFonts w:eastAsia="MS Mincho"/>
        </w:rPr>
      </w:pPr>
      <w:r>
        <w:rPr>
          <w:color w:val="000000" w:themeColor="text1"/>
          <w:szCs w:val="24"/>
        </w:rPr>
        <w:t>“</w:t>
      </w:r>
      <w:r w:rsidR="00AD4FC1">
        <w:rPr>
          <w:color w:val="000000" w:themeColor="text1"/>
          <w:szCs w:val="24"/>
        </w:rPr>
        <w:t xml:space="preserve">k) </w:t>
      </w:r>
      <w:r>
        <w:rPr>
          <w:color w:val="000000" w:themeColor="text1"/>
          <w:szCs w:val="24"/>
        </w:rPr>
        <w:t xml:space="preserve">Teminat: </w:t>
      </w:r>
      <w:r w:rsidRPr="00D21D65">
        <w:rPr>
          <w:rFonts w:eastAsia="MS Mincho"/>
        </w:rPr>
        <w:t>Kanunla verilen görev ve sorumluluklarını eksiksiz yerine getirmeleri</w:t>
      </w:r>
      <w:r>
        <w:rPr>
          <w:rFonts w:eastAsia="MS Mincho"/>
        </w:rPr>
        <w:t>ni teminen</w:t>
      </w:r>
      <w:r w:rsidRPr="00D21D65">
        <w:rPr>
          <w:rFonts w:eastAsia="MS Mincho"/>
        </w:rPr>
        <w:t xml:space="preserve"> kuruluşlardan yapı denetim izin belgesi ve laboratuvar izin belgesi verilmesi sürecinde alınan </w:t>
      </w:r>
      <w:r>
        <w:rPr>
          <w:rFonts w:eastAsia="MS Mincho"/>
        </w:rPr>
        <w:t>Tedavüldeki Türk Parası</w:t>
      </w:r>
      <w:r w:rsidR="00787289">
        <w:rPr>
          <w:rFonts w:eastAsia="MS Mincho"/>
        </w:rPr>
        <w:t>, Devlet İç Borçlanma senedi, bu senetler yerine düzenlenen belgeler</w:t>
      </w:r>
      <w:r>
        <w:rPr>
          <w:rFonts w:eastAsia="MS Mincho"/>
        </w:rPr>
        <w:t xml:space="preserve"> ve</w:t>
      </w:r>
      <w:r w:rsidRPr="00D21D65">
        <w:rPr>
          <w:rFonts w:eastAsia="MS Mincho"/>
        </w:rPr>
        <w:t xml:space="preserve"> Bankalar ve özel finans kurumları tarafın</w:t>
      </w:r>
      <w:r>
        <w:rPr>
          <w:rFonts w:eastAsia="MS Mincho"/>
        </w:rPr>
        <w:t>dan verilen teminat mektupları,”</w:t>
      </w:r>
    </w:p>
    <w:p w:rsidR="00536BBC" w:rsidRDefault="00536BBC" w:rsidP="00792FB2">
      <w:pPr>
        <w:spacing w:before="0" w:beforeAutospacing="0" w:after="0"/>
        <w:rPr>
          <w:rFonts w:eastAsia="MS Mincho"/>
        </w:rPr>
      </w:pPr>
      <w:r w:rsidRPr="0071736B">
        <w:rPr>
          <w:b/>
          <w:color w:val="000000" w:themeColor="text1"/>
          <w:szCs w:val="24"/>
        </w:rPr>
        <w:t xml:space="preserve">MADDE </w:t>
      </w:r>
      <w:r>
        <w:rPr>
          <w:b/>
          <w:color w:val="000000" w:themeColor="text1"/>
          <w:szCs w:val="24"/>
        </w:rPr>
        <w:t>4</w:t>
      </w:r>
      <w:r w:rsidRPr="0071736B">
        <w:rPr>
          <w:b/>
          <w:color w:val="000000" w:themeColor="text1"/>
          <w:szCs w:val="24"/>
        </w:rPr>
        <w:t xml:space="preserve"> -</w:t>
      </w:r>
      <w:r w:rsidRPr="0071736B">
        <w:rPr>
          <w:color w:val="000000" w:themeColor="text1"/>
          <w:szCs w:val="24"/>
        </w:rPr>
        <w:t xml:space="preserve">  </w:t>
      </w:r>
      <w:r>
        <w:rPr>
          <w:rFonts w:eastAsia="MS Mincho"/>
        </w:rPr>
        <w:t>Aynı Yönetmeliğin 5 nci maddesine aşağıdaki fıkra eklenmiştir.</w:t>
      </w:r>
    </w:p>
    <w:p w:rsidR="00FE4C7C" w:rsidRDefault="00FE4C7C" w:rsidP="00792FB2">
      <w:pPr>
        <w:spacing w:before="0" w:beforeAutospacing="0" w:after="0"/>
        <w:rPr>
          <w:rFonts w:eastAsia="MS Mincho"/>
        </w:rPr>
      </w:pPr>
    </w:p>
    <w:p w:rsidR="00632A10" w:rsidRDefault="00632A10" w:rsidP="00792FB2">
      <w:pPr>
        <w:spacing w:before="0" w:beforeAutospacing="0" w:after="0"/>
        <w:rPr>
          <w:rFonts w:eastAsia="MS Mincho"/>
        </w:rPr>
      </w:pPr>
      <w:r>
        <w:rPr>
          <w:rFonts w:eastAsia="MS Mincho"/>
        </w:rPr>
        <w:t>“</w:t>
      </w:r>
      <w:r w:rsidR="000C379F">
        <w:rPr>
          <w:rFonts w:eastAsia="MS Mincho"/>
        </w:rPr>
        <w:t>(</w:t>
      </w:r>
      <w:r>
        <w:rPr>
          <w:rFonts w:eastAsia="MS Mincho"/>
        </w:rPr>
        <w:t xml:space="preserve">5) </w:t>
      </w:r>
      <w:r w:rsidR="00FE4C7C">
        <w:rPr>
          <w:rFonts w:eastAsia="MS Mincho"/>
        </w:rPr>
        <w:t xml:space="preserve">Yapı denetim kuruluşları </w:t>
      </w:r>
      <w:r>
        <w:rPr>
          <w:rFonts w:eastAsia="MS Mincho"/>
        </w:rPr>
        <w:t xml:space="preserve">Kanun’un 8 nci maddesi uyarınca kendilerine tebliğ edilen </w:t>
      </w:r>
      <w:r w:rsidR="00FE4C7C">
        <w:rPr>
          <w:rFonts w:eastAsia="MS Mincho"/>
        </w:rPr>
        <w:t>i</w:t>
      </w:r>
      <w:r>
        <w:rPr>
          <w:rFonts w:eastAsia="MS Mincho"/>
        </w:rPr>
        <w:t>dari para cezalarını</w:t>
      </w:r>
      <w:r w:rsidR="00FE4C7C">
        <w:rPr>
          <w:rFonts w:eastAsia="MS Mincho"/>
        </w:rPr>
        <w:t xml:space="preserve"> tebliğ tarihinden itibaren</w:t>
      </w:r>
      <w:r>
        <w:rPr>
          <w:rFonts w:eastAsia="MS Mincho"/>
        </w:rPr>
        <w:t xml:space="preserve"> </w:t>
      </w:r>
      <w:r w:rsidR="00C333C8">
        <w:rPr>
          <w:rFonts w:eastAsia="MS Mincho"/>
        </w:rPr>
        <w:t>bir ay içinde ödemekle yükümlüdür. B</w:t>
      </w:r>
      <w:r w:rsidR="00FE4C7C">
        <w:rPr>
          <w:rFonts w:eastAsia="MS Mincho"/>
        </w:rPr>
        <w:t>u süre sonun</w:t>
      </w:r>
      <w:r w:rsidR="000C379F">
        <w:rPr>
          <w:rFonts w:eastAsia="MS Mincho"/>
        </w:rPr>
        <w:t>da</w:t>
      </w:r>
      <w:r w:rsidR="00C333C8">
        <w:rPr>
          <w:rFonts w:eastAsia="MS Mincho"/>
        </w:rPr>
        <w:t xml:space="preserve"> </w:t>
      </w:r>
      <w:r w:rsidR="00FE4C7C">
        <w:rPr>
          <w:rFonts w:eastAsia="MS Mincho"/>
        </w:rPr>
        <w:t>ödeme</w:t>
      </w:r>
      <w:r w:rsidR="000C379F">
        <w:rPr>
          <w:rFonts w:eastAsia="MS Mincho"/>
        </w:rPr>
        <w:t>lerini gerçekleştirmeyen</w:t>
      </w:r>
      <w:r w:rsidR="00BD174A">
        <w:rPr>
          <w:rFonts w:eastAsia="MS Mincho"/>
        </w:rPr>
        <w:t xml:space="preserve"> kuruluşların</w:t>
      </w:r>
      <w:r w:rsidR="00C47478">
        <w:rPr>
          <w:rFonts w:eastAsia="MS Mincho"/>
        </w:rPr>
        <w:t xml:space="preserve"> </w:t>
      </w:r>
      <w:r w:rsidR="00FE4C7C">
        <w:rPr>
          <w:rFonts w:eastAsia="MS Mincho"/>
        </w:rPr>
        <w:t>faaliyetine</w:t>
      </w:r>
      <w:r w:rsidR="000C379F">
        <w:rPr>
          <w:rFonts w:eastAsia="MS Mincho"/>
        </w:rPr>
        <w:t xml:space="preserve"> idari para cezasını</w:t>
      </w:r>
      <w:r w:rsidR="00BD174A">
        <w:rPr>
          <w:rFonts w:eastAsia="MS Mincho"/>
        </w:rPr>
        <w:t xml:space="preserve"> ödeyeceği </w:t>
      </w:r>
      <w:r w:rsidR="000C379F">
        <w:rPr>
          <w:rFonts w:eastAsia="MS Mincho"/>
        </w:rPr>
        <w:t>zamana</w:t>
      </w:r>
      <w:r w:rsidR="00BD174A">
        <w:rPr>
          <w:rFonts w:eastAsia="MS Mincho"/>
        </w:rPr>
        <w:t xml:space="preserve"> kadar </w:t>
      </w:r>
      <w:r w:rsidR="00FE4C7C">
        <w:rPr>
          <w:rFonts w:eastAsia="MS Mincho"/>
        </w:rPr>
        <w:t xml:space="preserve"> izin verilmez.”</w:t>
      </w:r>
    </w:p>
    <w:p w:rsidR="00F031C4" w:rsidRDefault="00F031C4" w:rsidP="00F031C4">
      <w:pPr>
        <w:rPr>
          <w:szCs w:val="24"/>
        </w:rPr>
      </w:pPr>
      <w:r w:rsidRPr="0071736B">
        <w:rPr>
          <w:b/>
          <w:color w:val="000000" w:themeColor="text1"/>
          <w:szCs w:val="24"/>
        </w:rPr>
        <w:t xml:space="preserve">MADDE </w:t>
      </w:r>
      <w:r w:rsidR="00536BBC">
        <w:rPr>
          <w:b/>
          <w:color w:val="000000" w:themeColor="text1"/>
          <w:szCs w:val="24"/>
        </w:rPr>
        <w:t>5</w:t>
      </w:r>
      <w:r w:rsidRPr="0071736B">
        <w:rPr>
          <w:b/>
          <w:color w:val="000000" w:themeColor="text1"/>
          <w:szCs w:val="24"/>
        </w:rPr>
        <w:t xml:space="preserve"> </w:t>
      </w:r>
      <w:r w:rsidRPr="0071736B">
        <w:rPr>
          <w:color w:val="000000" w:themeColor="text1"/>
          <w:szCs w:val="24"/>
        </w:rPr>
        <w:t xml:space="preserve">- </w:t>
      </w:r>
      <w:r w:rsidRPr="00B44A2C">
        <w:rPr>
          <w:szCs w:val="24"/>
        </w:rPr>
        <w:t xml:space="preserve">Aynı Yönetmeliğin </w:t>
      </w:r>
      <w:r>
        <w:rPr>
          <w:szCs w:val="24"/>
        </w:rPr>
        <w:t>6 ncı maddesine aşağıdaki fıkra eklenmiştir.</w:t>
      </w:r>
    </w:p>
    <w:p w:rsidR="00F031C4" w:rsidRPr="00C33D07" w:rsidRDefault="00F031C4" w:rsidP="00F031C4">
      <w:pPr>
        <w:rPr>
          <w:szCs w:val="24"/>
        </w:rPr>
      </w:pPr>
      <w:r>
        <w:rPr>
          <w:szCs w:val="24"/>
        </w:rPr>
        <w:t xml:space="preserve">“(7) Hataların taşıyıcı sistemi etkilemesi nedeniyle yapı denetim kuruluşuna yeni iş almaktan men cezası uygulanmasına </w:t>
      </w:r>
      <w:r w:rsidR="00EB3C64">
        <w:rPr>
          <w:szCs w:val="24"/>
        </w:rPr>
        <w:t>sebebiyet veren ya da</w:t>
      </w:r>
      <w:r w:rsidR="00057233">
        <w:rPr>
          <w:szCs w:val="24"/>
        </w:rPr>
        <w:t xml:space="preserve"> </w:t>
      </w:r>
      <w:r>
        <w:rPr>
          <w:szCs w:val="24"/>
        </w:rPr>
        <w:t>gerçeği yansıtmayan raporlar hazırlayarak laboratuvarlar</w:t>
      </w:r>
      <w:r w:rsidR="00B12F85">
        <w:rPr>
          <w:szCs w:val="24"/>
        </w:rPr>
        <w:t xml:space="preserve">ın belgesinin iptaline </w:t>
      </w:r>
      <w:r>
        <w:rPr>
          <w:szCs w:val="24"/>
        </w:rPr>
        <w:t>neden olan denetçi mimar</w:t>
      </w:r>
      <w:r w:rsidR="00057233">
        <w:rPr>
          <w:szCs w:val="24"/>
        </w:rPr>
        <w:t xml:space="preserve"> ve</w:t>
      </w:r>
      <w:r w:rsidR="00E2744B">
        <w:rPr>
          <w:szCs w:val="24"/>
        </w:rPr>
        <w:t xml:space="preserve"> </w:t>
      </w:r>
      <w:r>
        <w:rPr>
          <w:szCs w:val="24"/>
        </w:rPr>
        <w:t>mühendis</w:t>
      </w:r>
      <w:r w:rsidR="00057233">
        <w:rPr>
          <w:szCs w:val="24"/>
        </w:rPr>
        <w:t>ler</w:t>
      </w:r>
      <w:r w:rsidR="00E2744B">
        <w:rPr>
          <w:szCs w:val="24"/>
        </w:rPr>
        <w:t xml:space="preserve"> </w:t>
      </w:r>
      <w:r w:rsidR="00057233">
        <w:rPr>
          <w:szCs w:val="24"/>
        </w:rPr>
        <w:t>ile</w:t>
      </w:r>
      <w:r w:rsidR="00940583">
        <w:rPr>
          <w:szCs w:val="24"/>
        </w:rPr>
        <w:t xml:space="preserve"> teknik elemanlar</w:t>
      </w:r>
      <w:r>
        <w:rPr>
          <w:szCs w:val="24"/>
        </w:rPr>
        <w:t xml:space="preserve"> da, Kanunda yapı denetim kuruluşlarına ve laboratuvarlara idari para cezası uygulanmasına neden olan denetçi mimar ve mühendisler ile teknik elemanlar için ön görülen yaptırımlara tabidir.</w:t>
      </w:r>
      <w:r w:rsidR="00E2744B">
        <w:rPr>
          <w:szCs w:val="24"/>
        </w:rPr>
        <w:t xml:space="preserve"> </w:t>
      </w:r>
      <w:r w:rsidR="00057233">
        <w:rPr>
          <w:szCs w:val="24"/>
        </w:rPr>
        <w:t>Yapı Denetim kuruluşları ve laboratuvarlara Kanun</w:t>
      </w:r>
      <w:r w:rsidR="004C5F1B">
        <w:rPr>
          <w:szCs w:val="24"/>
        </w:rPr>
        <w:t>’un</w:t>
      </w:r>
      <w:r w:rsidR="00057233">
        <w:rPr>
          <w:szCs w:val="24"/>
        </w:rPr>
        <w:t xml:space="preserve"> 8 inci maddesinin birinci fıkrasının (a), (b),</w:t>
      </w:r>
      <w:r w:rsidR="00CD5234">
        <w:rPr>
          <w:szCs w:val="24"/>
        </w:rPr>
        <w:t xml:space="preserve"> (c), </w:t>
      </w:r>
      <w:r w:rsidR="00057233">
        <w:rPr>
          <w:szCs w:val="24"/>
        </w:rPr>
        <w:t>(ç),</w:t>
      </w:r>
      <w:r w:rsidR="00CD5234">
        <w:rPr>
          <w:szCs w:val="24"/>
        </w:rPr>
        <w:t xml:space="preserve"> (d),</w:t>
      </w:r>
      <w:r w:rsidR="00057233">
        <w:rPr>
          <w:szCs w:val="24"/>
        </w:rPr>
        <w:t xml:space="preserve"> (g) bendinin (1) numaralı alt bendi</w:t>
      </w:r>
      <w:r w:rsidR="00CD5234">
        <w:rPr>
          <w:szCs w:val="24"/>
        </w:rPr>
        <w:t xml:space="preserve"> ile onuncu fıkrasının (c) ve (e) bendinin (</w:t>
      </w:r>
      <w:r w:rsidR="00C243EF">
        <w:rPr>
          <w:szCs w:val="24"/>
        </w:rPr>
        <w:t>2</w:t>
      </w:r>
      <w:r w:rsidR="00CD5234">
        <w:rPr>
          <w:szCs w:val="24"/>
        </w:rPr>
        <w:t xml:space="preserve">) numaralı alt bendi uyarınca uygulanan </w:t>
      </w:r>
      <w:r w:rsidR="00476B5C">
        <w:rPr>
          <w:szCs w:val="24"/>
        </w:rPr>
        <w:t xml:space="preserve">her bir </w:t>
      </w:r>
      <w:r w:rsidR="00CD5234">
        <w:rPr>
          <w:szCs w:val="24"/>
        </w:rPr>
        <w:t>idari yaptırım</w:t>
      </w:r>
      <w:r w:rsidR="00476B5C">
        <w:rPr>
          <w:szCs w:val="24"/>
        </w:rPr>
        <w:t xml:space="preserve">, sorumluluğu bulunan </w:t>
      </w:r>
      <w:r w:rsidR="00CD5234">
        <w:rPr>
          <w:szCs w:val="24"/>
        </w:rPr>
        <w:t>denetçi</w:t>
      </w:r>
      <w:r w:rsidR="00893AC2" w:rsidRPr="00893AC2">
        <w:rPr>
          <w:szCs w:val="24"/>
        </w:rPr>
        <w:t xml:space="preserve"> </w:t>
      </w:r>
      <w:r w:rsidR="00893AC2">
        <w:rPr>
          <w:szCs w:val="24"/>
        </w:rPr>
        <w:t xml:space="preserve">mimar ve mühendisler </w:t>
      </w:r>
      <w:r w:rsidR="00CD5234">
        <w:rPr>
          <w:szCs w:val="24"/>
        </w:rPr>
        <w:t>ve teknik elemanlara verilecek idari yaptırımlar konusunda tekerrüre esas alınır.</w:t>
      </w:r>
      <w:r w:rsidR="00057233">
        <w:rPr>
          <w:szCs w:val="24"/>
        </w:rPr>
        <w:t xml:space="preserve"> </w:t>
      </w:r>
      <w:r w:rsidR="006A111F">
        <w:rPr>
          <w:szCs w:val="24"/>
        </w:rPr>
        <w:t xml:space="preserve">Aynı inceleme kapsamında kuruluşa birden fazla fiilden idari yaptırım uygulansa bile neden olan denetçi mimar ve mühendisler ile teknik elemanlar için bu durum bir kere tekerrüre esas alınır. </w:t>
      </w:r>
      <w:r>
        <w:rPr>
          <w:szCs w:val="24"/>
        </w:rPr>
        <w:t>”</w:t>
      </w:r>
    </w:p>
    <w:p w:rsidR="00F031C4" w:rsidRDefault="00A505DF" w:rsidP="00F031C4">
      <w:pPr>
        <w:rPr>
          <w:szCs w:val="24"/>
        </w:rPr>
      </w:pPr>
      <w:r w:rsidRPr="0071736B">
        <w:rPr>
          <w:b/>
          <w:color w:val="000000" w:themeColor="text1"/>
          <w:szCs w:val="24"/>
        </w:rPr>
        <w:t xml:space="preserve">MADDE </w:t>
      </w:r>
      <w:r w:rsidR="00536BBC">
        <w:rPr>
          <w:b/>
          <w:color w:val="000000" w:themeColor="text1"/>
          <w:szCs w:val="24"/>
        </w:rPr>
        <w:t>6</w:t>
      </w:r>
      <w:r w:rsidRPr="0071736B">
        <w:rPr>
          <w:b/>
          <w:color w:val="000000" w:themeColor="text1"/>
          <w:szCs w:val="24"/>
        </w:rPr>
        <w:t xml:space="preserve"> -</w:t>
      </w:r>
      <w:r w:rsidRPr="0071736B">
        <w:rPr>
          <w:color w:val="000000" w:themeColor="text1"/>
          <w:szCs w:val="24"/>
        </w:rPr>
        <w:t xml:space="preserve"> </w:t>
      </w:r>
      <w:r w:rsidR="00F031C4" w:rsidRPr="00B44A2C">
        <w:rPr>
          <w:szCs w:val="24"/>
        </w:rPr>
        <w:t xml:space="preserve">Aynı Yönetmeliğin </w:t>
      </w:r>
      <w:r w:rsidR="00F031C4">
        <w:rPr>
          <w:szCs w:val="24"/>
        </w:rPr>
        <w:t>9 uncu</w:t>
      </w:r>
      <w:r w:rsidR="00F031C4" w:rsidRPr="00C43840">
        <w:rPr>
          <w:szCs w:val="24"/>
        </w:rPr>
        <w:t xml:space="preserve"> maddesi</w:t>
      </w:r>
      <w:r w:rsidR="00F031C4">
        <w:rPr>
          <w:szCs w:val="24"/>
        </w:rPr>
        <w:t>nin altıncı fıkrası yürürlükten kaldırılmıştır.</w:t>
      </w:r>
    </w:p>
    <w:p w:rsidR="008D1EF7" w:rsidRDefault="008D1EF7" w:rsidP="008D1EF7">
      <w:pPr>
        <w:rPr>
          <w:szCs w:val="24"/>
        </w:rPr>
      </w:pPr>
      <w:r w:rsidRPr="0071736B">
        <w:rPr>
          <w:b/>
          <w:color w:val="000000" w:themeColor="text1"/>
          <w:szCs w:val="24"/>
        </w:rPr>
        <w:lastRenderedPageBreak/>
        <w:t xml:space="preserve">MADDE </w:t>
      </w:r>
      <w:r w:rsidR="00536BBC">
        <w:rPr>
          <w:b/>
          <w:color w:val="000000" w:themeColor="text1"/>
          <w:szCs w:val="24"/>
        </w:rPr>
        <w:t>7</w:t>
      </w:r>
      <w:r w:rsidRPr="0071736B">
        <w:rPr>
          <w:b/>
          <w:color w:val="000000" w:themeColor="text1"/>
          <w:szCs w:val="24"/>
        </w:rPr>
        <w:t xml:space="preserve"> </w:t>
      </w:r>
      <w:r w:rsidRPr="0071736B">
        <w:rPr>
          <w:color w:val="000000" w:themeColor="text1"/>
          <w:szCs w:val="24"/>
        </w:rPr>
        <w:t xml:space="preserve">- </w:t>
      </w:r>
      <w:r w:rsidRPr="00B44A2C">
        <w:rPr>
          <w:szCs w:val="24"/>
        </w:rPr>
        <w:t xml:space="preserve">Aynı Yönetmeliğin </w:t>
      </w:r>
      <w:r>
        <w:rPr>
          <w:szCs w:val="24"/>
        </w:rPr>
        <w:t>10 uncu</w:t>
      </w:r>
      <w:r w:rsidRPr="00C43840">
        <w:rPr>
          <w:szCs w:val="24"/>
        </w:rPr>
        <w:t xml:space="preserve"> maddesi</w:t>
      </w:r>
      <w:r>
        <w:rPr>
          <w:szCs w:val="24"/>
        </w:rPr>
        <w:t>nin ikinci</w:t>
      </w:r>
      <w:r w:rsidR="0078321F">
        <w:rPr>
          <w:szCs w:val="24"/>
        </w:rPr>
        <w:t xml:space="preserve"> </w:t>
      </w:r>
      <w:r>
        <w:rPr>
          <w:szCs w:val="24"/>
        </w:rPr>
        <w:t xml:space="preserve">ve altıncı fıkrası </w:t>
      </w:r>
      <w:r w:rsidRPr="00C43840">
        <w:rPr>
          <w:szCs w:val="24"/>
        </w:rPr>
        <w:t>aşağıdaki şekilde değiştirilmiş</w:t>
      </w:r>
      <w:r w:rsidR="0078321F">
        <w:rPr>
          <w:szCs w:val="24"/>
        </w:rPr>
        <w:t xml:space="preserve"> ve beşinci fıkrası yürürlükten kaldırılmıştır.</w:t>
      </w:r>
    </w:p>
    <w:p w:rsidR="0078321F" w:rsidRDefault="0078321F" w:rsidP="0078321F">
      <w:pPr>
        <w:spacing w:after="100" w:afterAutospacing="1" w:line="240" w:lineRule="atLeast"/>
        <w:ind w:firstLine="708"/>
        <w:rPr>
          <w:rFonts w:eastAsia="MS Mincho"/>
        </w:rPr>
      </w:pPr>
      <w:r>
        <w:rPr>
          <w:rFonts w:eastAsia="MS Mincho"/>
        </w:rPr>
        <w:t>“</w:t>
      </w:r>
      <w:r w:rsidR="00C940D7">
        <w:rPr>
          <w:rFonts w:eastAsia="MS Mincho"/>
        </w:rPr>
        <w:t xml:space="preserve">(2) </w:t>
      </w:r>
      <w:r w:rsidRPr="00807920">
        <w:rPr>
          <w:rFonts w:eastAsia="MS Mincho"/>
        </w:rPr>
        <w:t>Yapı</w:t>
      </w:r>
      <w:r>
        <w:rPr>
          <w:rFonts w:eastAsia="MS Mincho"/>
        </w:rPr>
        <w:t xml:space="preserve"> </w:t>
      </w:r>
      <w:r w:rsidRPr="00807920">
        <w:rPr>
          <w:rFonts w:eastAsia="MS Mincho"/>
        </w:rPr>
        <w:t xml:space="preserve">denetim kuruluşu, kuruluşun hisselerinin devri </w:t>
      </w:r>
      <w:r w:rsidR="00117999">
        <w:rPr>
          <w:rFonts w:eastAsia="MS Mincho"/>
        </w:rPr>
        <w:t xml:space="preserve">ile yetkilisi, </w:t>
      </w:r>
      <w:r w:rsidR="00117999" w:rsidRPr="00807920">
        <w:rPr>
          <w:rFonts w:eastAsia="MS Mincho"/>
        </w:rPr>
        <w:t>tebligat adresi</w:t>
      </w:r>
      <w:r w:rsidRPr="00807920">
        <w:rPr>
          <w:rFonts w:eastAsia="MS Mincho"/>
        </w:rPr>
        <w:t xml:space="preserve"> ve benzeri bilgilerin değişmesi hâlinde, bu değişikliklere dair bilgileri en geç bir ay içerisinde yazılı olarak </w:t>
      </w:r>
      <w:r w:rsidRPr="00807920">
        <w:rPr>
          <w:rFonts w:eastAsia="MS Mincho"/>
          <w:u w:val="single"/>
        </w:rPr>
        <w:t>Merkez Yapı Denetim</w:t>
      </w:r>
      <w:r w:rsidRPr="00807920">
        <w:rPr>
          <w:rFonts w:eastAsia="MS Mincho"/>
        </w:rPr>
        <w:t xml:space="preserve"> Komisyonuna bildirmek zorundadır.</w:t>
      </w:r>
      <w:r w:rsidR="00C940D7">
        <w:rPr>
          <w:rFonts w:eastAsia="MS Mincho"/>
        </w:rPr>
        <w:t>”</w:t>
      </w:r>
    </w:p>
    <w:p w:rsidR="002632B4" w:rsidRPr="00403B5F" w:rsidRDefault="00A26178" w:rsidP="00403B5F">
      <w:pPr>
        <w:spacing w:after="100" w:afterAutospacing="1" w:line="240" w:lineRule="atLeast"/>
        <w:ind w:firstLine="708"/>
        <w:rPr>
          <w:rFonts w:eastAsia="MS Mincho"/>
        </w:rPr>
      </w:pPr>
      <w:r>
        <w:rPr>
          <w:rFonts w:eastAsia="MS Mincho"/>
        </w:rPr>
        <w:t xml:space="preserve"> </w:t>
      </w:r>
      <w:r w:rsidR="00C940D7">
        <w:rPr>
          <w:rFonts w:eastAsia="MS Mincho"/>
        </w:rPr>
        <w:t xml:space="preserve">“(6) </w:t>
      </w:r>
      <w:r w:rsidR="0078321F" w:rsidRPr="00807920">
        <w:rPr>
          <w:rFonts w:eastAsia="MS Mincho"/>
        </w:rPr>
        <w:t>Yapı</w:t>
      </w:r>
      <w:r w:rsidR="0078321F">
        <w:rPr>
          <w:rFonts w:eastAsia="MS Mincho"/>
        </w:rPr>
        <w:t xml:space="preserve"> </w:t>
      </w:r>
      <w:r w:rsidR="0078321F" w:rsidRPr="00807920">
        <w:rPr>
          <w:rFonts w:eastAsia="MS Mincho"/>
        </w:rPr>
        <w:t>denetim kuruluşlarının; tasfiye edilmesi veya kuruluş amaç maddesinin değiştirilerek yapı denetim faaliyeti dışında başkaca bir faaliyette bulunması hallerinde, haklarında uygulanmakta olan idari müeyyideler var ise bunların bitim tarihinden itibaren kuruluşun ortaklarının kaydı, talepleri üzerine Bakanlık nezdinde tutulan yapı denetim kayıtlarından çıkarılır.</w:t>
      </w:r>
      <w:r w:rsidR="0078321F">
        <w:rPr>
          <w:rFonts w:eastAsia="MS Mincho"/>
        </w:rPr>
        <w:t>”</w:t>
      </w:r>
    </w:p>
    <w:p w:rsidR="00001DEC" w:rsidRDefault="00FB7D43" w:rsidP="00001DEC">
      <w:pPr>
        <w:rPr>
          <w:szCs w:val="24"/>
        </w:rPr>
      </w:pPr>
      <w:r w:rsidRPr="0071736B">
        <w:rPr>
          <w:b/>
          <w:color w:val="000000" w:themeColor="text1"/>
          <w:szCs w:val="24"/>
        </w:rPr>
        <w:t xml:space="preserve">MADDE </w:t>
      </w:r>
      <w:r w:rsidR="00536BBC">
        <w:rPr>
          <w:b/>
          <w:color w:val="000000" w:themeColor="text1"/>
          <w:szCs w:val="24"/>
        </w:rPr>
        <w:t>8</w:t>
      </w:r>
      <w:r w:rsidRPr="0071736B">
        <w:rPr>
          <w:b/>
          <w:color w:val="000000" w:themeColor="text1"/>
          <w:szCs w:val="24"/>
        </w:rPr>
        <w:t xml:space="preserve"> </w:t>
      </w:r>
      <w:r w:rsidRPr="0071736B">
        <w:rPr>
          <w:color w:val="000000" w:themeColor="text1"/>
          <w:szCs w:val="24"/>
        </w:rPr>
        <w:t xml:space="preserve">- </w:t>
      </w:r>
      <w:r w:rsidR="008D1EF7" w:rsidRPr="00B44A2C">
        <w:rPr>
          <w:szCs w:val="24"/>
        </w:rPr>
        <w:t xml:space="preserve">Aynı Yönetmeliğin </w:t>
      </w:r>
      <w:r w:rsidR="008D1EF7">
        <w:rPr>
          <w:szCs w:val="24"/>
        </w:rPr>
        <w:t>11</w:t>
      </w:r>
      <w:r w:rsidR="008D1EF7" w:rsidRPr="00C43840">
        <w:rPr>
          <w:szCs w:val="24"/>
        </w:rPr>
        <w:t xml:space="preserve"> inci maddesi</w:t>
      </w:r>
      <w:r w:rsidR="008D1EF7">
        <w:rPr>
          <w:szCs w:val="24"/>
        </w:rPr>
        <w:t xml:space="preserve">nin birinci fıkrası </w:t>
      </w:r>
      <w:r w:rsidR="008D1EF7" w:rsidRPr="00C43840">
        <w:rPr>
          <w:szCs w:val="24"/>
        </w:rPr>
        <w:t>aşa</w:t>
      </w:r>
      <w:r w:rsidR="00001DEC">
        <w:rPr>
          <w:szCs w:val="24"/>
        </w:rPr>
        <w:t>ğıdaki şekilde değiştirilmiştir.</w:t>
      </w:r>
    </w:p>
    <w:p w:rsidR="008D1EF7" w:rsidRDefault="008D1EF7" w:rsidP="00001DEC">
      <w:pPr>
        <w:rPr>
          <w:szCs w:val="24"/>
        </w:rPr>
      </w:pPr>
      <w:r w:rsidRPr="00D0053F">
        <w:rPr>
          <w:szCs w:val="24"/>
        </w:rPr>
        <w:t>“(1) Yapı denetim kuruluşunun denetleyebileceği toplam yapı inşaat alanı 360.000 m</w:t>
      </w:r>
      <w:r w:rsidRPr="00981536">
        <w:rPr>
          <w:szCs w:val="24"/>
          <w:vertAlign w:val="superscript"/>
        </w:rPr>
        <w:t>2</w:t>
      </w:r>
      <w:r w:rsidRPr="00D0053F">
        <w:rPr>
          <w:szCs w:val="24"/>
        </w:rPr>
        <w:t xml:space="preserve">’yi geçemez. </w:t>
      </w:r>
      <w:r w:rsidR="004F5FD4">
        <w:rPr>
          <w:szCs w:val="24"/>
        </w:rPr>
        <w:t xml:space="preserve">Ancak </w:t>
      </w:r>
      <w:r w:rsidR="000D12BD">
        <w:rPr>
          <w:szCs w:val="24"/>
        </w:rPr>
        <w:t>y</w:t>
      </w:r>
      <w:r w:rsidRPr="00D0053F">
        <w:rPr>
          <w:szCs w:val="24"/>
        </w:rPr>
        <w:t>apı denetim kuruluşunun üzerinde bulunan işlerin toplamı denetleme yetki sınırını aşmamış ise, alınmak istenen yeni bir işin</w:t>
      </w:r>
      <w:r w:rsidR="007D4E22">
        <w:rPr>
          <w:szCs w:val="24"/>
        </w:rPr>
        <w:t>,</w:t>
      </w:r>
      <w:r w:rsidR="004F5FD4">
        <w:rPr>
          <w:szCs w:val="24"/>
        </w:rPr>
        <w:t xml:space="preserve"> a</w:t>
      </w:r>
      <w:r w:rsidR="004F5FD4" w:rsidRPr="00D0053F">
        <w:rPr>
          <w:szCs w:val="24"/>
        </w:rPr>
        <w:t>ynı alanda ve aynı</w:t>
      </w:r>
      <w:r w:rsidR="004F5FD4">
        <w:rPr>
          <w:szCs w:val="24"/>
        </w:rPr>
        <w:t xml:space="preserve"> proje dahilinde </w:t>
      </w:r>
      <w:r w:rsidRPr="00D0053F">
        <w:rPr>
          <w:szCs w:val="24"/>
        </w:rPr>
        <w:t xml:space="preserve">olması kaydıyla, </w:t>
      </w:r>
      <w:r w:rsidR="00FA4A04">
        <w:rPr>
          <w:szCs w:val="24"/>
        </w:rPr>
        <w:t xml:space="preserve">denetimi üstlenilecek bu işle </w:t>
      </w:r>
      <w:r w:rsidRPr="00D0053F">
        <w:rPr>
          <w:szCs w:val="24"/>
        </w:rPr>
        <w:t>toplam yapı inşaat alanı</w:t>
      </w:r>
      <w:r w:rsidR="007D4E22">
        <w:rPr>
          <w:szCs w:val="24"/>
        </w:rPr>
        <w:t xml:space="preserve"> sınırı</w:t>
      </w:r>
      <w:r w:rsidR="00FA4A04">
        <w:rPr>
          <w:szCs w:val="24"/>
        </w:rPr>
        <w:t>nın</w:t>
      </w:r>
      <w:r w:rsidR="007D4E22">
        <w:rPr>
          <w:szCs w:val="24"/>
        </w:rPr>
        <w:t xml:space="preserve"> kuruluş için aşılabilmesi mümkün olmakla birlikte</w:t>
      </w:r>
      <w:r w:rsidR="004F5FD4">
        <w:rPr>
          <w:szCs w:val="24"/>
        </w:rPr>
        <w:t xml:space="preserve"> </w:t>
      </w:r>
      <w:r w:rsidR="007D4E22">
        <w:rPr>
          <w:color w:val="000000"/>
          <w:szCs w:val="24"/>
        </w:rPr>
        <w:t>kendileri için belirlenen yetki sınırının altına düşene kadar başkaca bir yapının denetim işini üstlenemezler</w:t>
      </w:r>
      <w:r w:rsidR="00FA4A04">
        <w:rPr>
          <w:color w:val="000000"/>
          <w:szCs w:val="24"/>
        </w:rPr>
        <w:t>.”</w:t>
      </w:r>
    </w:p>
    <w:p w:rsidR="00FB7D43" w:rsidRDefault="00FB7D43" w:rsidP="00FB7D43">
      <w:pPr>
        <w:spacing w:before="0" w:beforeAutospacing="0" w:after="0"/>
        <w:rPr>
          <w:color w:val="000000" w:themeColor="text1"/>
          <w:szCs w:val="24"/>
        </w:rPr>
      </w:pPr>
    </w:p>
    <w:p w:rsidR="008D1EF7" w:rsidRDefault="00C33D07" w:rsidP="00FB7D43">
      <w:pPr>
        <w:spacing w:before="0" w:beforeAutospacing="0" w:after="0"/>
        <w:rPr>
          <w:szCs w:val="24"/>
        </w:rPr>
      </w:pPr>
      <w:r w:rsidRPr="0071736B">
        <w:rPr>
          <w:b/>
          <w:color w:val="000000" w:themeColor="text1"/>
          <w:szCs w:val="24"/>
        </w:rPr>
        <w:t>MADDE</w:t>
      </w:r>
      <w:r w:rsidR="000A6EFB">
        <w:rPr>
          <w:b/>
          <w:color w:val="000000" w:themeColor="text1"/>
          <w:szCs w:val="24"/>
        </w:rPr>
        <w:t xml:space="preserve"> </w:t>
      </w:r>
      <w:r w:rsidR="00536BBC">
        <w:rPr>
          <w:b/>
          <w:color w:val="000000" w:themeColor="text1"/>
          <w:szCs w:val="24"/>
        </w:rPr>
        <w:t>9</w:t>
      </w:r>
      <w:r w:rsidRPr="0071736B">
        <w:rPr>
          <w:b/>
          <w:color w:val="000000" w:themeColor="text1"/>
          <w:szCs w:val="24"/>
        </w:rPr>
        <w:t xml:space="preserve"> </w:t>
      </w:r>
      <w:r w:rsidRPr="0071736B">
        <w:rPr>
          <w:color w:val="000000" w:themeColor="text1"/>
          <w:szCs w:val="24"/>
        </w:rPr>
        <w:t xml:space="preserve">- </w:t>
      </w:r>
      <w:r w:rsidRPr="00B44A2C">
        <w:rPr>
          <w:szCs w:val="24"/>
        </w:rPr>
        <w:t xml:space="preserve">Aynı Yönetmeliğin </w:t>
      </w:r>
      <w:r>
        <w:rPr>
          <w:szCs w:val="24"/>
        </w:rPr>
        <w:t>1</w:t>
      </w:r>
      <w:r w:rsidR="009C3B7C">
        <w:rPr>
          <w:szCs w:val="24"/>
        </w:rPr>
        <w:t>2</w:t>
      </w:r>
      <w:r w:rsidRPr="00C43840">
        <w:rPr>
          <w:szCs w:val="24"/>
        </w:rPr>
        <w:t xml:space="preserve"> inci maddesi</w:t>
      </w:r>
      <w:r>
        <w:rPr>
          <w:szCs w:val="24"/>
        </w:rPr>
        <w:t>nin birinci fıkrası</w:t>
      </w:r>
      <w:r w:rsidR="009C3B7C">
        <w:rPr>
          <w:szCs w:val="24"/>
        </w:rPr>
        <w:t>nın (ç) bendine “denetçi belgeleri” ifadesinden sonra “</w:t>
      </w:r>
      <w:r w:rsidR="009C3B7C" w:rsidRPr="00807920">
        <w:rPr>
          <w:rFonts w:eastAsia="MS Mincho"/>
        </w:rPr>
        <w:t>çalışma saatleri, ücret, görev ve sorumlulukları içeren sözleşme</w:t>
      </w:r>
      <w:r w:rsidR="009C3B7C">
        <w:rPr>
          <w:rFonts w:eastAsia="MS Mincho"/>
        </w:rPr>
        <w:t>leri,”</w:t>
      </w:r>
      <w:r w:rsidR="009C3B7C">
        <w:rPr>
          <w:szCs w:val="24"/>
        </w:rPr>
        <w:t xml:space="preserve"> </w:t>
      </w:r>
      <w:r>
        <w:rPr>
          <w:szCs w:val="24"/>
        </w:rPr>
        <w:t xml:space="preserve"> </w:t>
      </w:r>
      <w:r w:rsidR="009C3B7C">
        <w:rPr>
          <w:szCs w:val="24"/>
        </w:rPr>
        <w:t>ifadesi eklenmiştir</w:t>
      </w:r>
      <w:r>
        <w:rPr>
          <w:szCs w:val="24"/>
        </w:rPr>
        <w:t>.</w:t>
      </w:r>
    </w:p>
    <w:p w:rsidR="000C379F" w:rsidRDefault="000C379F" w:rsidP="00FB7D43">
      <w:pPr>
        <w:spacing w:before="0" w:beforeAutospacing="0" w:after="0"/>
        <w:rPr>
          <w:szCs w:val="24"/>
        </w:rPr>
      </w:pPr>
    </w:p>
    <w:p w:rsidR="000C379F" w:rsidRDefault="000C379F" w:rsidP="000C379F">
      <w:pPr>
        <w:spacing w:before="0" w:beforeAutospacing="0" w:after="0"/>
        <w:rPr>
          <w:rFonts w:eastAsia="MS Mincho"/>
        </w:rPr>
      </w:pPr>
      <w:r w:rsidRPr="0071736B">
        <w:rPr>
          <w:b/>
          <w:color w:val="000000" w:themeColor="text1"/>
          <w:szCs w:val="24"/>
        </w:rPr>
        <w:t xml:space="preserve">MADDE </w:t>
      </w:r>
      <w:r>
        <w:rPr>
          <w:b/>
          <w:color w:val="000000" w:themeColor="text1"/>
          <w:szCs w:val="24"/>
        </w:rPr>
        <w:t>10</w:t>
      </w:r>
      <w:r w:rsidRPr="0071736B">
        <w:rPr>
          <w:b/>
          <w:color w:val="000000" w:themeColor="text1"/>
          <w:szCs w:val="24"/>
        </w:rPr>
        <w:t xml:space="preserve"> -</w:t>
      </w:r>
      <w:r w:rsidRPr="0071736B">
        <w:rPr>
          <w:color w:val="000000" w:themeColor="text1"/>
          <w:szCs w:val="24"/>
        </w:rPr>
        <w:t xml:space="preserve">  </w:t>
      </w:r>
      <w:r>
        <w:rPr>
          <w:rFonts w:eastAsia="MS Mincho"/>
        </w:rPr>
        <w:t>Aynı Yönetmeliğin 13 üncü maddesine aşağıdaki fıkra eklenmiştir.</w:t>
      </w:r>
    </w:p>
    <w:p w:rsidR="000C379F" w:rsidRDefault="000C379F" w:rsidP="000C379F">
      <w:pPr>
        <w:spacing w:before="0" w:beforeAutospacing="0" w:after="0"/>
        <w:rPr>
          <w:rFonts w:eastAsia="MS Mincho"/>
        </w:rPr>
      </w:pPr>
    </w:p>
    <w:p w:rsidR="000C379F" w:rsidRDefault="000C379F" w:rsidP="000C379F">
      <w:pPr>
        <w:spacing w:before="0" w:beforeAutospacing="0" w:after="0"/>
        <w:rPr>
          <w:rFonts w:eastAsia="MS Mincho"/>
        </w:rPr>
      </w:pPr>
      <w:r>
        <w:rPr>
          <w:rFonts w:eastAsia="MS Mincho"/>
        </w:rPr>
        <w:t>“(7) Laboratuvarlar Kanun’un 8 nci maddesi uyarınca kendilerine tebliğ edilen idari para cezalarını tebliğ tarihinden itibaren bir ay içinde ödemekle yükümlüdür. Bu süre sonunda ödemelerini gerçekleştirmeyen kuruluşların faaliyetine idari para cezasını ödeyeceği zamana kadar  izin verilmez.”</w:t>
      </w:r>
    </w:p>
    <w:p w:rsidR="000C379F" w:rsidRDefault="000C379F" w:rsidP="00FB7D43">
      <w:pPr>
        <w:spacing w:before="0" w:beforeAutospacing="0" w:after="0"/>
        <w:rPr>
          <w:szCs w:val="24"/>
        </w:rPr>
      </w:pPr>
    </w:p>
    <w:p w:rsidR="00F16ACF" w:rsidRDefault="00F16ACF" w:rsidP="00FB7D43">
      <w:pPr>
        <w:spacing w:before="0" w:beforeAutospacing="0" w:after="0"/>
        <w:rPr>
          <w:szCs w:val="24"/>
        </w:rPr>
      </w:pPr>
    </w:p>
    <w:p w:rsidR="00F16ACF" w:rsidRDefault="00F16ACF" w:rsidP="00F16ACF">
      <w:pPr>
        <w:rPr>
          <w:szCs w:val="24"/>
        </w:rPr>
      </w:pPr>
      <w:r w:rsidRPr="0071736B">
        <w:rPr>
          <w:b/>
          <w:color w:val="000000" w:themeColor="text1"/>
          <w:szCs w:val="24"/>
        </w:rPr>
        <w:t xml:space="preserve">MADDE </w:t>
      </w:r>
      <w:r w:rsidR="00536BBC">
        <w:rPr>
          <w:b/>
          <w:color w:val="000000" w:themeColor="text1"/>
          <w:szCs w:val="24"/>
        </w:rPr>
        <w:t>1</w:t>
      </w:r>
      <w:r w:rsidR="000C379F">
        <w:rPr>
          <w:b/>
          <w:color w:val="000000" w:themeColor="text1"/>
          <w:szCs w:val="24"/>
        </w:rPr>
        <w:t>1</w:t>
      </w:r>
      <w:r w:rsidRPr="0071736B">
        <w:rPr>
          <w:b/>
          <w:color w:val="000000" w:themeColor="text1"/>
          <w:szCs w:val="24"/>
        </w:rPr>
        <w:t xml:space="preserve"> </w:t>
      </w:r>
      <w:r w:rsidRPr="0071736B">
        <w:rPr>
          <w:color w:val="000000" w:themeColor="text1"/>
          <w:szCs w:val="24"/>
        </w:rPr>
        <w:t xml:space="preserve">- </w:t>
      </w:r>
      <w:r w:rsidRPr="00B44A2C">
        <w:rPr>
          <w:szCs w:val="24"/>
        </w:rPr>
        <w:t xml:space="preserve">Aynı Yönetmeliğin </w:t>
      </w:r>
      <w:r>
        <w:rPr>
          <w:szCs w:val="24"/>
        </w:rPr>
        <w:t>14 üncü</w:t>
      </w:r>
      <w:r w:rsidRPr="00C43840">
        <w:rPr>
          <w:szCs w:val="24"/>
        </w:rPr>
        <w:t xml:space="preserve"> maddesi</w:t>
      </w:r>
      <w:r>
        <w:rPr>
          <w:szCs w:val="24"/>
        </w:rPr>
        <w:t xml:space="preserve">nin üçüncü fıkrasının (c) ve </w:t>
      </w:r>
      <w:r w:rsidRPr="00F16ACF">
        <w:rPr>
          <w:color w:val="000000" w:themeColor="text1"/>
          <w:szCs w:val="24"/>
        </w:rPr>
        <w:t xml:space="preserve">(e) </w:t>
      </w:r>
      <w:r>
        <w:rPr>
          <w:szCs w:val="24"/>
        </w:rPr>
        <w:t>bendi</w:t>
      </w:r>
      <w:r w:rsidR="00A736E2">
        <w:rPr>
          <w:szCs w:val="24"/>
        </w:rPr>
        <w:t xml:space="preserve"> ile altıncı fıkrası</w:t>
      </w:r>
      <w:r>
        <w:rPr>
          <w:szCs w:val="24"/>
        </w:rPr>
        <w:t xml:space="preserve"> </w:t>
      </w:r>
      <w:r w:rsidRPr="00C43840">
        <w:rPr>
          <w:szCs w:val="24"/>
        </w:rPr>
        <w:t>aşağıdaki şekilde değiştirilmiştir.</w:t>
      </w:r>
    </w:p>
    <w:p w:rsidR="00F16ACF" w:rsidRDefault="00F16ACF" w:rsidP="00F16ACF">
      <w:pPr>
        <w:ind w:firstLine="708"/>
        <w:rPr>
          <w:color w:val="000000"/>
          <w:szCs w:val="24"/>
        </w:rPr>
      </w:pPr>
      <w:r w:rsidRPr="00472617">
        <w:rPr>
          <w:color w:val="1C283D"/>
          <w:szCs w:val="24"/>
        </w:rPr>
        <w:t>“</w:t>
      </w:r>
      <w:r w:rsidRPr="0004512D">
        <w:rPr>
          <w:color w:val="000000"/>
          <w:szCs w:val="24"/>
        </w:rPr>
        <w:t>c)</w:t>
      </w:r>
      <w:r w:rsidRPr="00472617">
        <w:rPr>
          <w:b/>
          <w:bCs/>
          <w:color w:val="1C283D"/>
          <w:szCs w:val="24"/>
        </w:rPr>
        <w:t xml:space="preserve"> </w:t>
      </w:r>
      <w:r w:rsidRPr="00472617">
        <w:rPr>
          <w:rStyle w:val="apple-style-span"/>
          <w:color w:val="000000"/>
          <w:szCs w:val="24"/>
        </w:rPr>
        <w:t xml:space="preserve">Diplomasının veya yerine geçen belgenin aslı veya </w:t>
      </w:r>
      <w:r w:rsidRPr="0004512D">
        <w:rPr>
          <w:color w:val="000000"/>
          <w:szCs w:val="24"/>
        </w:rPr>
        <w:t>ibraz edilen asıllarının Bakanlık merkez veya taşra teşkilatı veya belgelerin verildiği ilgili kurum tarafından tasdikli sureti,”</w:t>
      </w:r>
    </w:p>
    <w:p w:rsidR="00A736E2" w:rsidRDefault="00A26178" w:rsidP="00F16ACF">
      <w:pPr>
        <w:rPr>
          <w:szCs w:val="24"/>
        </w:rPr>
      </w:pPr>
      <w:r>
        <w:rPr>
          <w:szCs w:val="24"/>
        </w:rPr>
        <w:t xml:space="preserve"> </w:t>
      </w:r>
      <w:r w:rsidR="00C940D7">
        <w:rPr>
          <w:szCs w:val="24"/>
        </w:rPr>
        <w:t>“</w:t>
      </w:r>
      <w:r w:rsidR="00F16ACF" w:rsidRPr="003C1E88">
        <w:rPr>
          <w:szCs w:val="24"/>
        </w:rPr>
        <w:t>e) D</w:t>
      </w:r>
      <w:r w:rsidR="00F16ACF" w:rsidRPr="003C1E88">
        <w:rPr>
          <w:rStyle w:val="apple-style-span"/>
          <w:szCs w:val="24"/>
        </w:rPr>
        <w:t xml:space="preserve">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w:t>
      </w:r>
      <w:r w:rsidR="00F16ACF">
        <w:rPr>
          <w:rStyle w:val="apple-style-span"/>
          <w:color w:val="000000" w:themeColor="text1"/>
          <w:szCs w:val="24"/>
        </w:rPr>
        <w:t xml:space="preserve">mahkum </w:t>
      </w:r>
      <w:r w:rsidR="00F16ACF" w:rsidRPr="003C1E88">
        <w:rPr>
          <w:rStyle w:val="apple-style-span"/>
          <w:szCs w:val="24"/>
        </w:rPr>
        <w:t>olmadığına dair yazılı beyan</w:t>
      </w:r>
      <w:r w:rsidR="00F16ACF" w:rsidRPr="003C1E88">
        <w:rPr>
          <w:szCs w:val="24"/>
        </w:rPr>
        <w:t>,</w:t>
      </w:r>
      <w:r w:rsidR="00C940D7">
        <w:rPr>
          <w:szCs w:val="24"/>
        </w:rPr>
        <w:t>”</w:t>
      </w:r>
    </w:p>
    <w:p w:rsidR="00F16ACF" w:rsidRDefault="00A26178" w:rsidP="00A736E2">
      <w:pPr>
        <w:spacing w:after="100" w:afterAutospacing="1" w:line="240" w:lineRule="atLeast"/>
        <w:ind w:firstLine="708"/>
        <w:rPr>
          <w:szCs w:val="24"/>
        </w:rPr>
      </w:pPr>
      <w:r>
        <w:rPr>
          <w:rFonts w:eastAsia="MS Mincho"/>
        </w:rPr>
        <w:lastRenderedPageBreak/>
        <w:t xml:space="preserve"> </w:t>
      </w:r>
      <w:r w:rsidR="00C940D7">
        <w:rPr>
          <w:rFonts w:eastAsia="MS Mincho"/>
        </w:rPr>
        <w:t>“</w:t>
      </w:r>
      <w:r w:rsidR="00A736E2" w:rsidRPr="00807920">
        <w:rPr>
          <w:rFonts w:eastAsia="MS Mincho"/>
        </w:rPr>
        <w:t xml:space="preserve">(6) Verilen </w:t>
      </w:r>
      <w:r w:rsidR="00A736E2">
        <w:rPr>
          <w:rFonts w:eastAsia="MS Mincho"/>
        </w:rPr>
        <w:t xml:space="preserve">ya da yenilenen </w:t>
      </w:r>
      <w:r w:rsidR="00A736E2" w:rsidRPr="00807920">
        <w:rPr>
          <w:rFonts w:eastAsia="MS Mincho"/>
        </w:rPr>
        <w:t>denetçi belgeleri beş yıl için geçerlidir. Bu sürenin sonunda vize edilmeyen denetçi belgesinin kullanımına izin verilmez.</w:t>
      </w:r>
      <w:r w:rsidR="00F16ACF" w:rsidRPr="003C1E88">
        <w:rPr>
          <w:szCs w:val="24"/>
        </w:rPr>
        <w:t>”</w:t>
      </w:r>
    </w:p>
    <w:p w:rsidR="00BF4A99" w:rsidRDefault="00BF4A99" w:rsidP="00A736E2">
      <w:pPr>
        <w:spacing w:after="100" w:afterAutospacing="1" w:line="240" w:lineRule="atLeast"/>
        <w:ind w:firstLine="708"/>
        <w:rPr>
          <w:szCs w:val="24"/>
        </w:rPr>
      </w:pPr>
      <w:r w:rsidRPr="0071736B">
        <w:rPr>
          <w:b/>
          <w:color w:val="000000" w:themeColor="text1"/>
          <w:szCs w:val="24"/>
        </w:rPr>
        <w:t xml:space="preserve">MADDE </w:t>
      </w:r>
      <w:r>
        <w:rPr>
          <w:b/>
          <w:color w:val="000000" w:themeColor="text1"/>
          <w:szCs w:val="24"/>
        </w:rPr>
        <w:t>1</w:t>
      </w:r>
      <w:r w:rsidR="000C379F">
        <w:rPr>
          <w:b/>
          <w:color w:val="000000" w:themeColor="text1"/>
          <w:szCs w:val="24"/>
        </w:rPr>
        <w:t>2</w:t>
      </w:r>
      <w:r w:rsidRPr="0071736B">
        <w:rPr>
          <w:b/>
          <w:color w:val="000000" w:themeColor="text1"/>
          <w:szCs w:val="24"/>
        </w:rPr>
        <w:t xml:space="preserve"> </w:t>
      </w:r>
      <w:r w:rsidRPr="0071736B">
        <w:rPr>
          <w:color w:val="000000" w:themeColor="text1"/>
          <w:szCs w:val="24"/>
        </w:rPr>
        <w:t xml:space="preserve">- </w:t>
      </w:r>
      <w:r w:rsidRPr="003C1E88">
        <w:rPr>
          <w:szCs w:val="24"/>
        </w:rPr>
        <w:t>Aynı Yönetmeliğin 1</w:t>
      </w:r>
      <w:r>
        <w:rPr>
          <w:szCs w:val="24"/>
        </w:rPr>
        <w:t>5</w:t>
      </w:r>
      <w:r w:rsidRPr="003C1E88">
        <w:rPr>
          <w:szCs w:val="24"/>
        </w:rPr>
        <w:t xml:space="preserve"> </w:t>
      </w:r>
      <w:r w:rsidR="000761F9">
        <w:rPr>
          <w:szCs w:val="24"/>
        </w:rPr>
        <w:t>i</w:t>
      </w:r>
      <w:r w:rsidRPr="003C1E88">
        <w:rPr>
          <w:szCs w:val="24"/>
        </w:rPr>
        <w:t>nc</w:t>
      </w:r>
      <w:r>
        <w:rPr>
          <w:szCs w:val="24"/>
        </w:rPr>
        <w:t>i</w:t>
      </w:r>
      <w:r w:rsidRPr="003C1E88">
        <w:rPr>
          <w:szCs w:val="24"/>
        </w:rPr>
        <w:t xml:space="preserve"> maddesin</w:t>
      </w:r>
      <w:r>
        <w:rPr>
          <w:szCs w:val="24"/>
        </w:rPr>
        <w:t>e</w:t>
      </w:r>
      <w:r w:rsidRPr="003C1E88">
        <w:rPr>
          <w:szCs w:val="24"/>
        </w:rPr>
        <w:t xml:space="preserve"> </w:t>
      </w:r>
      <w:r>
        <w:rPr>
          <w:color w:val="000000" w:themeColor="text1"/>
          <w:szCs w:val="24"/>
        </w:rPr>
        <w:t>aşağıdaki fıkra eklenmiştir</w:t>
      </w:r>
      <w:r>
        <w:rPr>
          <w:szCs w:val="24"/>
        </w:rPr>
        <w:t>.</w:t>
      </w:r>
    </w:p>
    <w:p w:rsidR="00BF4A99" w:rsidRDefault="00BF4A99" w:rsidP="00BF4A99">
      <w:pPr>
        <w:ind w:firstLine="708"/>
        <w:rPr>
          <w:color w:val="000000"/>
          <w:szCs w:val="24"/>
        </w:rPr>
      </w:pPr>
      <w:r>
        <w:rPr>
          <w:color w:val="000000"/>
          <w:szCs w:val="24"/>
        </w:rPr>
        <w:t>“</w:t>
      </w:r>
      <w:r w:rsidR="000C379F">
        <w:rPr>
          <w:color w:val="000000"/>
          <w:szCs w:val="24"/>
        </w:rPr>
        <w:t>(</w:t>
      </w:r>
      <w:r>
        <w:rPr>
          <w:color w:val="000000"/>
          <w:szCs w:val="24"/>
        </w:rPr>
        <w:t>5</w:t>
      </w:r>
      <w:r w:rsidR="000D12BD">
        <w:rPr>
          <w:color w:val="000000"/>
          <w:szCs w:val="24"/>
        </w:rPr>
        <w:t>)</w:t>
      </w:r>
      <w:r>
        <w:rPr>
          <w:color w:val="000000"/>
          <w:szCs w:val="24"/>
        </w:rPr>
        <w:t xml:space="preserve"> A</w:t>
      </w:r>
      <w:r w:rsidRPr="003C1E88">
        <w:rPr>
          <w:color w:val="000000"/>
          <w:szCs w:val="24"/>
        </w:rPr>
        <w:t>ynı alanda ve proje dahilinde olmak üzere denetçi mimarlar</w:t>
      </w:r>
      <w:r w:rsidR="000D12BD">
        <w:rPr>
          <w:color w:val="000000"/>
          <w:szCs w:val="24"/>
        </w:rPr>
        <w:t xml:space="preserve"> ve</w:t>
      </w:r>
      <w:r w:rsidRPr="003C1E88">
        <w:rPr>
          <w:color w:val="000000"/>
          <w:szCs w:val="24"/>
        </w:rPr>
        <w:t xml:space="preserve"> mühendisler </w:t>
      </w:r>
      <w:r w:rsidR="000D12BD">
        <w:rPr>
          <w:color w:val="000000"/>
          <w:szCs w:val="24"/>
        </w:rPr>
        <w:t>il</w:t>
      </w:r>
      <w:r w:rsidRPr="003C1E88">
        <w:rPr>
          <w:color w:val="000000"/>
          <w:szCs w:val="24"/>
        </w:rPr>
        <w:t>e kontrol elemanları üzerlerinde başka bir iş olmamak koşuluyla denetleme yetkisine sahip oldukları inşaat alanı sınırını aşabilir</w:t>
      </w:r>
      <w:r w:rsidR="000D12BD">
        <w:rPr>
          <w:color w:val="000000"/>
          <w:szCs w:val="24"/>
        </w:rPr>
        <w:t xml:space="preserve"> ancak kendileri için belirlenen yetki sınırının altına düşene kadar başkaca bir yapının denetim işini üstlenemezler</w:t>
      </w:r>
      <w:r w:rsidRPr="003C1E88">
        <w:rPr>
          <w:color w:val="000000"/>
          <w:szCs w:val="24"/>
        </w:rPr>
        <w:t>.”</w:t>
      </w:r>
    </w:p>
    <w:p w:rsidR="00BF4A99" w:rsidRDefault="00BF4A99" w:rsidP="00A736E2">
      <w:pPr>
        <w:spacing w:after="100" w:afterAutospacing="1" w:line="240" w:lineRule="atLeast"/>
        <w:ind w:firstLine="708"/>
        <w:rPr>
          <w:szCs w:val="24"/>
        </w:rPr>
      </w:pPr>
    </w:p>
    <w:p w:rsidR="00B940BC" w:rsidRPr="00A33DCA" w:rsidRDefault="00B940BC" w:rsidP="00864234">
      <w:pPr>
        <w:rPr>
          <w:szCs w:val="24"/>
        </w:rPr>
      </w:pPr>
      <w:r w:rsidRPr="0071736B">
        <w:rPr>
          <w:b/>
          <w:color w:val="000000" w:themeColor="text1"/>
          <w:szCs w:val="24"/>
        </w:rPr>
        <w:t xml:space="preserve">MADDE </w:t>
      </w:r>
      <w:r w:rsidR="00A505DF">
        <w:rPr>
          <w:b/>
          <w:color w:val="000000" w:themeColor="text1"/>
          <w:szCs w:val="24"/>
        </w:rPr>
        <w:t>1</w:t>
      </w:r>
      <w:r w:rsidR="000C379F">
        <w:rPr>
          <w:b/>
          <w:color w:val="000000" w:themeColor="text1"/>
          <w:szCs w:val="24"/>
        </w:rPr>
        <w:t>3</w:t>
      </w:r>
      <w:r w:rsidRPr="0071736B">
        <w:rPr>
          <w:b/>
          <w:color w:val="000000" w:themeColor="text1"/>
          <w:szCs w:val="24"/>
        </w:rPr>
        <w:t xml:space="preserve"> </w:t>
      </w:r>
      <w:r w:rsidRPr="0071736B">
        <w:rPr>
          <w:color w:val="000000" w:themeColor="text1"/>
          <w:szCs w:val="24"/>
        </w:rPr>
        <w:t xml:space="preserve">- </w:t>
      </w:r>
      <w:r w:rsidRPr="003C1E88">
        <w:rPr>
          <w:szCs w:val="24"/>
        </w:rPr>
        <w:t xml:space="preserve">Aynı Yönetmeliğin 16 ncı maddesinin </w:t>
      </w:r>
      <w:r w:rsidRPr="00B940BC">
        <w:rPr>
          <w:color w:val="000000" w:themeColor="text1"/>
          <w:szCs w:val="24"/>
        </w:rPr>
        <w:t>birinci</w:t>
      </w:r>
      <w:r w:rsidR="00A33DCA">
        <w:rPr>
          <w:color w:val="000000" w:themeColor="text1"/>
          <w:szCs w:val="24"/>
        </w:rPr>
        <w:t xml:space="preserve"> fıkrasındaki “üç ay”</w:t>
      </w:r>
      <w:r w:rsidRPr="00B940BC">
        <w:rPr>
          <w:color w:val="000000" w:themeColor="text1"/>
          <w:szCs w:val="24"/>
        </w:rPr>
        <w:t xml:space="preserve"> </w:t>
      </w:r>
      <w:r w:rsidR="00A33DCA">
        <w:rPr>
          <w:color w:val="000000" w:themeColor="text1"/>
          <w:szCs w:val="24"/>
        </w:rPr>
        <w:t xml:space="preserve">ibaresi “90  gün” olarak </w:t>
      </w:r>
      <w:r w:rsidRPr="003C1E88">
        <w:rPr>
          <w:szCs w:val="24"/>
        </w:rPr>
        <w:t>değiştirilmişti</w:t>
      </w:r>
      <w:r w:rsidR="00A33DCA">
        <w:rPr>
          <w:szCs w:val="24"/>
        </w:rPr>
        <w:t>r.</w:t>
      </w:r>
      <w:r w:rsidRPr="003C1E88">
        <w:rPr>
          <w:color w:val="1C283D"/>
          <w:szCs w:val="24"/>
        </w:rPr>
        <w:tab/>
      </w:r>
      <w:r w:rsidRPr="003C1E88">
        <w:rPr>
          <w:color w:val="FF0000"/>
          <w:szCs w:val="24"/>
        </w:rPr>
        <w:tab/>
      </w:r>
    </w:p>
    <w:p w:rsidR="00864234" w:rsidRPr="008E7FA3" w:rsidRDefault="00864234" w:rsidP="00BF4A99">
      <w:pPr>
        <w:ind w:firstLine="708"/>
        <w:rPr>
          <w:rFonts w:eastAsia="MS Mincho"/>
        </w:rPr>
      </w:pPr>
      <w:r w:rsidRPr="0071736B">
        <w:rPr>
          <w:b/>
          <w:color w:val="000000" w:themeColor="text1"/>
          <w:szCs w:val="24"/>
        </w:rPr>
        <w:t xml:space="preserve">MADDE </w:t>
      </w:r>
      <w:r>
        <w:rPr>
          <w:b/>
          <w:color w:val="000000" w:themeColor="text1"/>
          <w:szCs w:val="24"/>
        </w:rPr>
        <w:t>1</w:t>
      </w:r>
      <w:r w:rsidR="000C379F">
        <w:rPr>
          <w:b/>
          <w:color w:val="000000" w:themeColor="text1"/>
          <w:szCs w:val="24"/>
        </w:rPr>
        <w:t>4</w:t>
      </w:r>
      <w:r w:rsidRPr="0071736B">
        <w:rPr>
          <w:b/>
          <w:color w:val="000000" w:themeColor="text1"/>
          <w:szCs w:val="24"/>
        </w:rPr>
        <w:t xml:space="preserve"> </w:t>
      </w:r>
      <w:r w:rsidRPr="0071736B">
        <w:rPr>
          <w:color w:val="000000" w:themeColor="text1"/>
          <w:szCs w:val="24"/>
        </w:rPr>
        <w:t xml:space="preserve">- </w:t>
      </w:r>
      <w:r w:rsidR="0026743A">
        <w:rPr>
          <w:color w:val="000000" w:themeColor="text1"/>
          <w:szCs w:val="24"/>
        </w:rPr>
        <w:t>Aynı Yönetmeliğin 19’</w:t>
      </w:r>
      <w:r w:rsidRPr="00864234">
        <w:rPr>
          <w:color w:val="000000" w:themeColor="text1"/>
          <w:szCs w:val="24"/>
        </w:rPr>
        <w:t xml:space="preserve">uncu maddesinin </w:t>
      </w:r>
      <w:r w:rsidR="00932311">
        <w:rPr>
          <w:color w:val="000000" w:themeColor="text1"/>
          <w:szCs w:val="24"/>
        </w:rPr>
        <w:t>birinci</w:t>
      </w:r>
      <w:r w:rsidRPr="00864234">
        <w:rPr>
          <w:color w:val="000000" w:themeColor="text1"/>
          <w:szCs w:val="24"/>
        </w:rPr>
        <w:t xml:space="preserve"> fıkrası</w:t>
      </w:r>
      <w:r w:rsidR="00932311">
        <w:rPr>
          <w:color w:val="000000" w:themeColor="text1"/>
          <w:szCs w:val="24"/>
        </w:rPr>
        <w:t>nın (b) bendinde yer alan düzenlemek ibaresinden sonra gelm</w:t>
      </w:r>
      <w:r w:rsidR="00932311" w:rsidRPr="008E7FA3">
        <w:rPr>
          <w:rFonts w:eastAsia="MS Mincho"/>
        </w:rPr>
        <w:t>ek üzere “ve bu belgeleri iptal etmek</w:t>
      </w:r>
      <w:r w:rsidR="008E7FA3">
        <w:rPr>
          <w:rFonts w:eastAsia="MS Mincho"/>
        </w:rPr>
        <w:t xml:space="preserve"> için karar almak</w:t>
      </w:r>
      <w:r w:rsidR="00932311" w:rsidRPr="008E7FA3">
        <w:rPr>
          <w:rFonts w:eastAsia="MS Mincho"/>
        </w:rPr>
        <w:t xml:space="preserve">” ibaresi eklenmiş, </w:t>
      </w:r>
      <w:r w:rsidRPr="008E7FA3">
        <w:rPr>
          <w:rFonts w:eastAsia="MS Mincho"/>
        </w:rPr>
        <w:t xml:space="preserve"> </w:t>
      </w:r>
      <w:r w:rsidR="008E7FA3">
        <w:rPr>
          <w:rFonts w:eastAsia="MS Mincho"/>
        </w:rPr>
        <w:t xml:space="preserve">üçüncü fıkrasının (d) bendi </w:t>
      </w:r>
      <w:r w:rsidRPr="008E7FA3">
        <w:rPr>
          <w:rFonts w:eastAsia="MS Mincho"/>
        </w:rPr>
        <w:t>aşağıdaki şekilde değiştirilmiştir.</w:t>
      </w:r>
    </w:p>
    <w:p w:rsidR="008E7FA3" w:rsidRDefault="00A736E2" w:rsidP="008E7FA3">
      <w:pPr>
        <w:spacing w:after="100" w:afterAutospacing="1" w:line="240" w:lineRule="atLeast"/>
        <w:ind w:firstLine="708"/>
        <w:rPr>
          <w:rFonts w:eastAsia="MS Mincho"/>
        </w:rPr>
      </w:pPr>
      <w:r w:rsidRPr="00807920">
        <w:rPr>
          <w:rFonts w:eastAsia="MS Mincho"/>
        </w:rPr>
        <w:t xml:space="preserve"> </w:t>
      </w:r>
      <w:r w:rsidR="008E7FA3">
        <w:rPr>
          <w:rFonts w:eastAsia="MS Mincho"/>
        </w:rPr>
        <w:t>“</w:t>
      </w:r>
      <w:r w:rsidR="00C44D7B" w:rsidRPr="00807920">
        <w:rPr>
          <w:rFonts w:eastAsia="MS Mincho"/>
        </w:rPr>
        <w:t xml:space="preserve">d) </w:t>
      </w:r>
      <w:r w:rsidR="00C44D7B" w:rsidRPr="008E7FA3">
        <w:rPr>
          <w:rFonts w:eastAsia="MS Mincho"/>
        </w:rPr>
        <w:t>Yapı denetim kuruluşlarının, denetçilerinin, kontrol elemanlarının ve yardımcı kontrol elemanlarının Yapı Denetimi Hakkında Kanun ve ilgili mevzuata aykırı uygulamalarına ilişkin olarak inşaatın bulunduğu ilin çalışma birimlerince hazırlanan raporlar, aynı ilin komisyonunca değerlendirilerek karara bağlanır.</w:t>
      </w:r>
      <w:r w:rsidR="008E7FA3" w:rsidRPr="008E7FA3">
        <w:rPr>
          <w:rFonts w:eastAsia="MS Mincho"/>
        </w:rPr>
        <w:t xml:space="preserve"> Yeni iş almaktan men cezasının </w:t>
      </w:r>
      <w:r w:rsidR="008E7FA3" w:rsidRPr="00807920">
        <w:rPr>
          <w:rFonts w:eastAsia="MS Mincho"/>
        </w:rPr>
        <w:t>uygulanmasının gerektiğine karar verilmesi halinde Bakanlığa teklifte bulunulur.</w:t>
      </w:r>
      <w:r w:rsidR="008E7FA3">
        <w:rPr>
          <w:rFonts w:eastAsia="MS Mincho"/>
        </w:rPr>
        <w:t>”</w:t>
      </w:r>
    </w:p>
    <w:p w:rsidR="0007312B" w:rsidRPr="00CD7B0A" w:rsidRDefault="008E7FA3" w:rsidP="00CD7B0A">
      <w:pPr>
        <w:spacing w:after="100" w:afterAutospacing="1" w:line="240" w:lineRule="atLeast"/>
        <w:ind w:firstLine="708"/>
        <w:rPr>
          <w:color w:val="000000" w:themeColor="text1"/>
          <w:szCs w:val="24"/>
        </w:rPr>
      </w:pPr>
      <w:r>
        <w:rPr>
          <w:rFonts w:eastAsia="MS Mincho"/>
          <w:b/>
          <w:bCs/>
        </w:rPr>
        <w:t>MADDE 1</w:t>
      </w:r>
      <w:r w:rsidR="000C379F">
        <w:rPr>
          <w:rFonts w:eastAsia="MS Mincho"/>
          <w:b/>
          <w:bCs/>
        </w:rPr>
        <w:t>5</w:t>
      </w:r>
      <w:r w:rsidRPr="00807920">
        <w:rPr>
          <w:rFonts w:eastAsia="MS Mincho"/>
          <w:b/>
          <w:bCs/>
        </w:rPr>
        <w:t xml:space="preserve"> –</w:t>
      </w:r>
      <w:r w:rsidR="005F0788">
        <w:rPr>
          <w:rFonts w:eastAsia="MS Mincho"/>
          <w:b/>
          <w:bCs/>
        </w:rPr>
        <w:t xml:space="preserve"> </w:t>
      </w:r>
      <w:r w:rsidR="0026743A">
        <w:rPr>
          <w:color w:val="000000" w:themeColor="text1"/>
          <w:szCs w:val="24"/>
        </w:rPr>
        <w:t>Aynı Yönetmeliğin 20’nci</w:t>
      </w:r>
      <w:r w:rsidR="005F0788" w:rsidRPr="00864234">
        <w:rPr>
          <w:color w:val="000000" w:themeColor="text1"/>
          <w:szCs w:val="24"/>
        </w:rPr>
        <w:t xml:space="preserve"> maddesinin </w:t>
      </w:r>
      <w:r w:rsidR="005F0788">
        <w:rPr>
          <w:color w:val="000000" w:themeColor="text1"/>
          <w:szCs w:val="24"/>
        </w:rPr>
        <w:t>birinci</w:t>
      </w:r>
      <w:r w:rsidR="005F0788" w:rsidRPr="00864234">
        <w:rPr>
          <w:color w:val="000000" w:themeColor="text1"/>
          <w:szCs w:val="24"/>
        </w:rPr>
        <w:t xml:space="preserve"> fıkrası</w:t>
      </w:r>
      <w:r w:rsidR="005F0788">
        <w:rPr>
          <w:color w:val="000000" w:themeColor="text1"/>
          <w:szCs w:val="24"/>
        </w:rPr>
        <w:t>n</w:t>
      </w:r>
      <w:r w:rsidR="0026743A">
        <w:rPr>
          <w:color w:val="000000" w:themeColor="text1"/>
          <w:szCs w:val="24"/>
        </w:rPr>
        <w:t xml:space="preserve">da yer alan “bünyesinde, </w:t>
      </w:r>
      <w:r w:rsidR="0026743A" w:rsidRPr="00807920">
        <w:rPr>
          <w:rFonts w:eastAsia="MS Mincho"/>
        </w:rPr>
        <w:t>Bakanlık uygun görüşü alınarak belirlenecek personelden müteşekkil</w:t>
      </w:r>
      <w:r w:rsidR="0026743A">
        <w:rPr>
          <w:rFonts w:eastAsia="MS Mincho"/>
        </w:rPr>
        <w:t xml:space="preserve">” </w:t>
      </w:r>
      <w:r w:rsidR="0026743A">
        <w:rPr>
          <w:color w:val="000000" w:themeColor="text1"/>
          <w:szCs w:val="24"/>
        </w:rPr>
        <w:t>ibaresi “bünyesinde görev yapan personelden müteşekkil”</w:t>
      </w:r>
      <w:r w:rsidR="00FF291A">
        <w:rPr>
          <w:color w:val="000000" w:themeColor="text1"/>
          <w:szCs w:val="24"/>
        </w:rPr>
        <w:t xml:space="preserve"> şeklinde değiştirilmiş</w:t>
      </w:r>
      <w:r w:rsidR="0026743A">
        <w:rPr>
          <w:color w:val="000000" w:themeColor="text1"/>
          <w:szCs w:val="24"/>
        </w:rPr>
        <w:t xml:space="preserve"> </w:t>
      </w:r>
      <w:r w:rsidR="00FF291A">
        <w:rPr>
          <w:color w:val="000000" w:themeColor="text1"/>
          <w:szCs w:val="24"/>
        </w:rPr>
        <w:t>ve üçüncü fıkrasının (a) ve (b) bendinde “Yapı denetim kuruluşlarının” ibaresinden sonra “ve laboratuvarların” ibaresi eklenmiştir.</w:t>
      </w:r>
    </w:p>
    <w:p w:rsidR="00183332" w:rsidRDefault="0007312B" w:rsidP="0007312B">
      <w:pPr>
        <w:spacing w:after="100" w:afterAutospacing="1" w:line="240" w:lineRule="atLeast"/>
        <w:ind w:firstLine="708"/>
        <w:rPr>
          <w:color w:val="000000" w:themeColor="text1"/>
          <w:szCs w:val="24"/>
        </w:rPr>
      </w:pPr>
      <w:r>
        <w:rPr>
          <w:rFonts w:eastAsia="MS Mincho"/>
          <w:b/>
          <w:bCs/>
        </w:rPr>
        <w:t>MADDE 1</w:t>
      </w:r>
      <w:r w:rsidR="000C379F">
        <w:rPr>
          <w:rFonts w:eastAsia="MS Mincho"/>
          <w:b/>
          <w:bCs/>
        </w:rPr>
        <w:t>6</w:t>
      </w:r>
      <w:r w:rsidRPr="00807920">
        <w:rPr>
          <w:rFonts w:eastAsia="MS Mincho"/>
          <w:b/>
          <w:bCs/>
        </w:rPr>
        <w:t xml:space="preserve"> –</w:t>
      </w:r>
      <w:r>
        <w:rPr>
          <w:rFonts w:eastAsia="MS Mincho"/>
          <w:b/>
          <w:bCs/>
        </w:rPr>
        <w:t xml:space="preserve"> </w:t>
      </w:r>
      <w:r>
        <w:rPr>
          <w:color w:val="000000" w:themeColor="text1"/>
          <w:szCs w:val="24"/>
        </w:rPr>
        <w:t>Aynı Yönetmeliğin 23’üncü</w:t>
      </w:r>
      <w:r w:rsidRPr="00864234">
        <w:rPr>
          <w:color w:val="000000" w:themeColor="text1"/>
          <w:szCs w:val="24"/>
        </w:rPr>
        <w:t xml:space="preserve"> maddesinin </w:t>
      </w:r>
      <w:r>
        <w:rPr>
          <w:color w:val="000000" w:themeColor="text1"/>
          <w:szCs w:val="24"/>
        </w:rPr>
        <w:t>dokuzuncu</w:t>
      </w:r>
      <w:r w:rsidRPr="00864234">
        <w:rPr>
          <w:color w:val="000000" w:themeColor="text1"/>
          <w:szCs w:val="24"/>
        </w:rPr>
        <w:t xml:space="preserve"> </w:t>
      </w:r>
      <w:r w:rsidR="00183332">
        <w:rPr>
          <w:color w:val="000000" w:themeColor="text1"/>
          <w:szCs w:val="24"/>
        </w:rPr>
        <w:t xml:space="preserve">ve onuncu </w:t>
      </w:r>
      <w:r w:rsidRPr="00864234">
        <w:rPr>
          <w:color w:val="000000" w:themeColor="text1"/>
          <w:szCs w:val="24"/>
        </w:rPr>
        <w:t>fıkra</w:t>
      </w:r>
      <w:r w:rsidR="00095530">
        <w:rPr>
          <w:color w:val="000000" w:themeColor="text1"/>
          <w:szCs w:val="24"/>
        </w:rPr>
        <w:t>larının başında</w:t>
      </w:r>
      <w:r>
        <w:rPr>
          <w:color w:val="000000" w:themeColor="text1"/>
          <w:szCs w:val="24"/>
        </w:rPr>
        <w:t xml:space="preserve"> yer alan “</w:t>
      </w:r>
      <w:r w:rsidRPr="00807920">
        <w:rPr>
          <w:rFonts w:eastAsia="MS Mincho"/>
        </w:rPr>
        <w:t>Denetim faaliyeti geçici olarak durdurulan veya</w:t>
      </w:r>
      <w:r>
        <w:rPr>
          <w:color w:val="000000" w:themeColor="text1"/>
          <w:szCs w:val="24"/>
        </w:rPr>
        <w:t>” ibare</w:t>
      </w:r>
      <w:r w:rsidR="00183332">
        <w:rPr>
          <w:color w:val="000000" w:themeColor="text1"/>
          <w:szCs w:val="24"/>
        </w:rPr>
        <w:t xml:space="preserve">leri </w:t>
      </w:r>
      <w:r w:rsidR="00C940D7">
        <w:rPr>
          <w:color w:val="000000" w:themeColor="text1"/>
          <w:szCs w:val="24"/>
        </w:rPr>
        <w:t>kaldırılmış</w:t>
      </w:r>
      <w:r w:rsidR="00183332">
        <w:rPr>
          <w:color w:val="000000" w:themeColor="text1"/>
          <w:szCs w:val="24"/>
        </w:rPr>
        <w:t xml:space="preserve"> ve onbirinci fıkrası aşağıdaki şekilde değiştirilmiştir.</w:t>
      </w:r>
    </w:p>
    <w:p w:rsidR="00183332" w:rsidRPr="00807920" w:rsidRDefault="00183332" w:rsidP="00183332">
      <w:pPr>
        <w:spacing w:after="100" w:afterAutospacing="1" w:line="240" w:lineRule="atLeast"/>
        <w:ind w:firstLine="708"/>
        <w:rPr>
          <w:rFonts w:eastAsia="MS Mincho"/>
        </w:rPr>
      </w:pPr>
      <w:r>
        <w:rPr>
          <w:rFonts w:eastAsia="MS Mincho"/>
        </w:rPr>
        <w:t>“</w:t>
      </w:r>
      <w:r w:rsidRPr="00807920">
        <w:rPr>
          <w:rFonts w:eastAsia="MS Mincho"/>
        </w:rPr>
        <w:t xml:space="preserve">(11) </w:t>
      </w:r>
      <w:r>
        <w:rPr>
          <w:rFonts w:eastAsia="MS Mincho"/>
        </w:rPr>
        <w:t>Yeni iş almaktan men cezası</w:t>
      </w:r>
      <w:r w:rsidR="00723D50">
        <w:rPr>
          <w:rFonts w:eastAsia="MS Mincho"/>
        </w:rPr>
        <w:t>na</w:t>
      </w:r>
      <w:r>
        <w:rPr>
          <w:rFonts w:eastAsia="MS Mincho"/>
        </w:rPr>
        <w:t xml:space="preserve"> </w:t>
      </w:r>
      <w:r w:rsidRPr="00807920">
        <w:rPr>
          <w:rFonts w:eastAsia="MS Mincho"/>
        </w:rPr>
        <w:t>sebep olan işler iç</w:t>
      </w:r>
      <w:r w:rsidR="00095530">
        <w:rPr>
          <w:rFonts w:eastAsia="MS Mincho"/>
        </w:rPr>
        <w:t>in, herhangi bir inşai faaliyet</w:t>
      </w:r>
      <w:r w:rsidRPr="00807920">
        <w:rPr>
          <w:rFonts w:eastAsia="MS Mincho"/>
        </w:rPr>
        <w:t xml:space="preserve"> kalmamış olsa dahi, geri kalan iş ve işlemler tamamlanmak üzere yapı sahibinin bir başka yapı denetim kuruluşu ile hizmet sözleşmesi imzalaması şarttır.</w:t>
      </w:r>
      <w:r w:rsidR="00CD7B0A">
        <w:rPr>
          <w:rFonts w:eastAsia="MS Mincho"/>
        </w:rPr>
        <w:t>”</w:t>
      </w:r>
    </w:p>
    <w:p w:rsidR="00870BCB" w:rsidRPr="008D1EF7" w:rsidRDefault="00870BCB" w:rsidP="008D1EF7">
      <w:pPr>
        <w:rPr>
          <w:szCs w:val="24"/>
        </w:rPr>
      </w:pPr>
      <w:r w:rsidRPr="0071736B">
        <w:rPr>
          <w:b/>
          <w:color w:val="000000" w:themeColor="text1"/>
          <w:szCs w:val="24"/>
        </w:rPr>
        <w:t xml:space="preserve">MADDE </w:t>
      </w:r>
      <w:r w:rsidR="00B04B5B">
        <w:rPr>
          <w:b/>
          <w:color w:val="000000" w:themeColor="text1"/>
          <w:szCs w:val="24"/>
        </w:rPr>
        <w:t>1</w:t>
      </w:r>
      <w:r w:rsidR="000C379F">
        <w:rPr>
          <w:b/>
          <w:color w:val="000000" w:themeColor="text1"/>
          <w:szCs w:val="24"/>
        </w:rPr>
        <w:t>7</w:t>
      </w:r>
      <w:r w:rsidRPr="0071736B">
        <w:rPr>
          <w:b/>
          <w:color w:val="000000" w:themeColor="text1"/>
          <w:szCs w:val="24"/>
        </w:rPr>
        <w:t xml:space="preserve"> </w:t>
      </w:r>
      <w:r w:rsidRPr="0071736B">
        <w:rPr>
          <w:color w:val="000000" w:themeColor="text1"/>
          <w:szCs w:val="24"/>
        </w:rPr>
        <w:t xml:space="preserve">- </w:t>
      </w:r>
      <w:r w:rsidR="008D1EF7" w:rsidRPr="003C1E88">
        <w:rPr>
          <w:szCs w:val="24"/>
        </w:rPr>
        <w:t>Aynı Yönetmeliğin 26 ncı maddesinin ikinci, üçüncü ve dördüncü fıkraları aşağ</w:t>
      </w:r>
      <w:r w:rsidR="008D1EF7">
        <w:rPr>
          <w:szCs w:val="24"/>
        </w:rPr>
        <w:t>ıdaki şekilde değiştirilmiştir.</w:t>
      </w:r>
    </w:p>
    <w:p w:rsidR="008D1EF7" w:rsidRDefault="008D1EF7" w:rsidP="00B04B5B">
      <w:pPr>
        <w:ind w:firstLine="708"/>
        <w:rPr>
          <w:szCs w:val="24"/>
        </w:rPr>
      </w:pPr>
      <w:r w:rsidRPr="003C1E88">
        <w:rPr>
          <w:szCs w:val="24"/>
        </w:rPr>
        <w:t>“(2) Yapı denetimi hizmet bedeli, yapı yaklaşık maliyeti ile hizmet bedeline esas oranın çarpımı suretiyle elde edilen bedeldir. Bu bedele, katma değer vergisi ile yapı denetim kuruluşu tarafından talep edilen ve taşıyıcı sisteme ilişkin olmayan malzeme ve imalâtlar konusunda yapı müteahhidince yaptırılacak olan laboratuvar deneylerinin masrafları dâhil olmayıp, bu bedeller yapı sahibince ayrıca karşılanır.</w:t>
      </w:r>
      <w:r w:rsidR="00981536">
        <w:rPr>
          <w:szCs w:val="24"/>
        </w:rPr>
        <w:t>”</w:t>
      </w:r>
      <w:r w:rsidRPr="003C1E88">
        <w:rPr>
          <w:szCs w:val="24"/>
        </w:rPr>
        <w:tab/>
        <w:t xml:space="preserve">  </w:t>
      </w:r>
      <w:r w:rsidRPr="003C1E88">
        <w:rPr>
          <w:szCs w:val="24"/>
        </w:rPr>
        <w:tab/>
      </w:r>
    </w:p>
    <w:p w:rsidR="008D1EF7" w:rsidRDefault="00A26178" w:rsidP="008D1EF7">
      <w:pPr>
        <w:tabs>
          <w:tab w:val="left" w:pos="567"/>
        </w:tabs>
        <w:rPr>
          <w:szCs w:val="24"/>
        </w:rPr>
      </w:pPr>
      <w:r>
        <w:rPr>
          <w:szCs w:val="24"/>
        </w:rPr>
        <w:t xml:space="preserve"> </w:t>
      </w:r>
      <w:r w:rsidR="00981536">
        <w:rPr>
          <w:szCs w:val="24"/>
        </w:rPr>
        <w:t>“</w:t>
      </w:r>
      <w:r w:rsidR="008D1EF7" w:rsidRPr="003C1E88">
        <w:rPr>
          <w:szCs w:val="24"/>
        </w:rPr>
        <w:t>(3) Yapı yaklaşık maliyeti, Bakanlık tarafından her yıl yayımlanan "Mimarlık ve Mühendislik Hizmet Bedellerinin Hesabında Kullanılacak Yapı Yaklaşı</w:t>
      </w:r>
      <w:r w:rsidR="008D1EF7" w:rsidRPr="001D3430">
        <w:rPr>
          <w:szCs w:val="24"/>
        </w:rPr>
        <w:t xml:space="preserve">k Birim Maliyetleri </w:t>
      </w:r>
      <w:r w:rsidR="008D1EF7" w:rsidRPr="001D3430">
        <w:rPr>
          <w:szCs w:val="24"/>
        </w:rPr>
        <w:lastRenderedPageBreak/>
        <w:t xml:space="preserve">Hakkında Tebliğ"de belirlenen birim maliyetinin yapı inşaat alanı ile çarpımından bulunur. </w:t>
      </w:r>
      <w:r w:rsidR="008D1EF7">
        <w:rPr>
          <w:szCs w:val="24"/>
        </w:rPr>
        <w:t>Ruhsat uyarınca yapılması gerekli olup da</w:t>
      </w:r>
      <w:r w:rsidR="008D1EF7" w:rsidRPr="001D3430">
        <w:rPr>
          <w:szCs w:val="24"/>
        </w:rPr>
        <w:t xml:space="preserve"> söz konusu Tebliğde belirtilmeyen veya özellik arz eden yapım işlemlerinin metraja dayalı maliyet bedeli hesaplanarak, yukarıdaki esasa göre hesaplanan toplam bedele ilave edilebilir.</w:t>
      </w:r>
    </w:p>
    <w:p w:rsidR="008D1EF7" w:rsidRPr="001D3430" w:rsidRDefault="008D1EF7" w:rsidP="008D1EF7">
      <w:pPr>
        <w:tabs>
          <w:tab w:val="left" w:pos="567"/>
        </w:tabs>
        <w:rPr>
          <w:szCs w:val="24"/>
        </w:rPr>
      </w:pPr>
      <w:r>
        <w:rPr>
          <w:szCs w:val="24"/>
        </w:rPr>
        <w:tab/>
      </w:r>
    </w:p>
    <w:tbl>
      <w:tblPr>
        <w:tblW w:w="494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7"/>
        <w:gridCol w:w="2625"/>
      </w:tblGrid>
      <w:tr w:rsidR="008D1EF7" w:rsidRPr="001D3430" w:rsidTr="00183332">
        <w:trPr>
          <w:trHeight w:val="352"/>
          <w:tblCellSpacing w:w="0" w:type="dxa"/>
          <w:jc w:val="center"/>
        </w:trPr>
        <w:tc>
          <w:tcPr>
            <w:tcW w:w="5000" w:type="pct"/>
            <w:gridSpan w:val="2"/>
            <w:vAlign w:val="center"/>
          </w:tcPr>
          <w:p w:rsidR="008D1EF7" w:rsidRPr="001D3430" w:rsidRDefault="008D1EF7" w:rsidP="00183332">
            <w:pPr>
              <w:pStyle w:val="NormalWeb"/>
              <w:widowControl w:val="0"/>
              <w:spacing w:before="0" w:beforeAutospacing="0" w:after="0" w:afterAutospacing="0"/>
              <w:jc w:val="center"/>
              <w:rPr>
                <w:b/>
                <w:bCs/>
                <w:color w:val="000000"/>
              </w:rPr>
            </w:pPr>
            <w:r w:rsidRPr="001D3430">
              <w:rPr>
                <w:b/>
                <w:bCs/>
                <w:color w:val="000000"/>
              </w:rPr>
              <w:t>Yapı Denetimi Hizmet Bedeline Esas</w:t>
            </w:r>
          </w:p>
          <w:p w:rsidR="008D1EF7" w:rsidRPr="001D3430" w:rsidRDefault="008D1EF7" w:rsidP="00183332">
            <w:pPr>
              <w:pStyle w:val="NormalWeb"/>
              <w:widowControl w:val="0"/>
              <w:spacing w:before="0" w:beforeAutospacing="0" w:after="0" w:afterAutospacing="0"/>
              <w:jc w:val="center"/>
              <w:rPr>
                <w:b/>
                <w:bCs/>
                <w:color w:val="000000"/>
              </w:rPr>
            </w:pPr>
            <w:r w:rsidRPr="001D3430">
              <w:rPr>
                <w:b/>
                <w:bCs/>
                <w:color w:val="000000"/>
              </w:rPr>
              <w:t>Oranlar Cetveli</w:t>
            </w:r>
          </w:p>
        </w:tc>
      </w:tr>
      <w:tr w:rsidR="008D1EF7" w:rsidRPr="001D3430" w:rsidTr="00183332">
        <w:trPr>
          <w:tblCellSpacing w:w="0" w:type="dxa"/>
          <w:jc w:val="center"/>
        </w:trPr>
        <w:tc>
          <w:tcPr>
            <w:tcW w:w="2344" w:type="pct"/>
            <w:vAlign w:val="center"/>
          </w:tcPr>
          <w:p w:rsidR="008D1EF7" w:rsidRPr="001D3430" w:rsidRDefault="008D1EF7" w:rsidP="00183332">
            <w:pPr>
              <w:pStyle w:val="NormalWeb"/>
              <w:widowControl w:val="0"/>
              <w:spacing w:before="0" w:beforeAutospacing="0" w:after="0" w:afterAutospacing="0"/>
              <w:jc w:val="center"/>
              <w:rPr>
                <w:color w:val="000000"/>
              </w:rPr>
            </w:pPr>
            <w:r w:rsidRPr="001D3430">
              <w:rPr>
                <w:color w:val="000000"/>
              </w:rPr>
              <w:t>Hizmet Süresi</w:t>
            </w:r>
          </w:p>
        </w:tc>
        <w:tc>
          <w:tcPr>
            <w:tcW w:w="2656" w:type="pct"/>
            <w:vAlign w:val="center"/>
          </w:tcPr>
          <w:p w:rsidR="008D1EF7" w:rsidRPr="001D3430" w:rsidRDefault="008D1EF7" w:rsidP="00183332">
            <w:pPr>
              <w:pStyle w:val="NormalWeb"/>
              <w:widowControl w:val="0"/>
              <w:spacing w:before="0" w:beforeAutospacing="0" w:after="0" w:afterAutospacing="0"/>
              <w:jc w:val="center"/>
              <w:rPr>
                <w:color w:val="000000"/>
              </w:rPr>
            </w:pPr>
            <w:r w:rsidRPr="001D3430">
              <w:rPr>
                <w:color w:val="000000"/>
              </w:rPr>
              <w:t>Asgari Hizmet Bedeli Oranı (% )</w:t>
            </w:r>
          </w:p>
        </w:tc>
      </w:tr>
      <w:tr w:rsidR="008D1EF7" w:rsidRPr="001D3430" w:rsidTr="00183332">
        <w:trPr>
          <w:tblCellSpacing w:w="0" w:type="dxa"/>
          <w:jc w:val="center"/>
        </w:trPr>
        <w:tc>
          <w:tcPr>
            <w:tcW w:w="2344" w:type="pct"/>
          </w:tcPr>
          <w:p w:rsidR="008D1EF7" w:rsidRPr="001D3430" w:rsidRDefault="008D1EF7" w:rsidP="00183332">
            <w:pPr>
              <w:pStyle w:val="NormalWeb"/>
              <w:widowControl w:val="0"/>
              <w:spacing w:before="0" w:beforeAutospacing="0" w:after="0" w:afterAutospacing="0"/>
              <w:jc w:val="center"/>
              <w:rPr>
                <w:i/>
                <w:iCs/>
                <w:color w:val="000000"/>
              </w:rPr>
            </w:pPr>
            <w:r w:rsidRPr="001D3430">
              <w:rPr>
                <w:i/>
                <w:iCs/>
                <w:color w:val="000000"/>
              </w:rPr>
              <w:t>1 yıl</w:t>
            </w:r>
          </w:p>
        </w:tc>
        <w:tc>
          <w:tcPr>
            <w:tcW w:w="2656" w:type="pct"/>
          </w:tcPr>
          <w:p w:rsidR="008D1EF7" w:rsidRPr="001D3430" w:rsidRDefault="008D1EF7" w:rsidP="00183332">
            <w:pPr>
              <w:pStyle w:val="NormalWeb"/>
              <w:widowControl w:val="0"/>
              <w:spacing w:before="0" w:beforeAutospacing="0" w:after="0" w:afterAutospacing="0"/>
              <w:jc w:val="center"/>
              <w:rPr>
                <w:i/>
                <w:iCs/>
                <w:color w:val="000000"/>
              </w:rPr>
            </w:pPr>
            <w:r w:rsidRPr="001D3430">
              <w:rPr>
                <w:i/>
                <w:iCs/>
                <w:color w:val="000000"/>
              </w:rPr>
              <w:t>1.43</w:t>
            </w:r>
          </w:p>
        </w:tc>
      </w:tr>
      <w:tr w:rsidR="008D1EF7" w:rsidRPr="001D3430" w:rsidTr="00183332">
        <w:trPr>
          <w:tblCellSpacing w:w="0" w:type="dxa"/>
          <w:jc w:val="center"/>
        </w:trPr>
        <w:tc>
          <w:tcPr>
            <w:tcW w:w="2344" w:type="pct"/>
          </w:tcPr>
          <w:p w:rsidR="008D1EF7" w:rsidRPr="001D3430" w:rsidRDefault="008D1EF7" w:rsidP="00183332">
            <w:pPr>
              <w:pStyle w:val="NormalWeb"/>
              <w:widowControl w:val="0"/>
              <w:spacing w:before="0" w:beforeAutospacing="0" w:after="0" w:afterAutospacing="0"/>
              <w:jc w:val="center"/>
              <w:rPr>
                <w:i/>
                <w:iCs/>
                <w:color w:val="000000"/>
              </w:rPr>
            </w:pPr>
            <w:r w:rsidRPr="001D3430">
              <w:rPr>
                <w:i/>
                <w:iCs/>
                <w:color w:val="000000"/>
              </w:rPr>
              <w:t>2 yıl</w:t>
            </w:r>
          </w:p>
        </w:tc>
        <w:tc>
          <w:tcPr>
            <w:tcW w:w="2656" w:type="pct"/>
          </w:tcPr>
          <w:p w:rsidR="008D1EF7" w:rsidRPr="001D3430" w:rsidRDefault="008D1EF7" w:rsidP="00183332">
            <w:pPr>
              <w:pStyle w:val="NormalWeb"/>
              <w:widowControl w:val="0"/>
              <w:spacing w:before="0" w:beforeAutospacing="0" w:after="0" w:afterAutospacing="0"/>
              <w:jc w:val="center"/>
              <w:rPr>
                <w:i/>
                <w:iCs/>
                <w:color w:val="000000"/>
              </w:rPr>
            </w:pPr>
            <w:r w:rsidRPr="001D3430">
              <w:rPr>
                <w:i/>
                <w:iCs/>
                <w:color w:val="000000"/>
              </w:rPr>
              <w:t>1.50</w:t>
            </w:r>
          </w:p>
        </w:tc>
      </w:tr>
      <w:tr w:rsidR="008D1EF7" w:rsidRPr="001D3430" w:rsidTr="00183332">
        <w:trPr>
          <w:tblCellSpacing w:w="0" w:type="dxa"/>
          <w:jc w:val="center"/>
        </w:trPr>
        <w:tc>
          <w:tcPr>
            <w:tcW w:w="2344" w:type="pct"/>
          </w:tcPr>
          <w:p w:rsidR="008D1EF7" w:rsidRPr="001D3430" w:rsidRDefault="008D1EF7" w:rsidP="00183332">
            <w:pPr>
              <w:pStyle w:val="NormalWeb"/>
              <w:widowControl w:val="0"/>
              <w:spacing w:before="0" w:beforeAutospacing="0" w:after="0" w:afterAutospacing="0"/>
              <w:jc w:val="center"/>
              <w:rPr>
                <w:i/>
                <w:iCs/>
                <w:color w:val="000000"/>
              </w:rPr>
            </w:pPr>
            <w:r w:rsidRPr="001D3430">
              <w:rPr>
                <w:i/>
                <w:iCs/>
                <w:color w:val="000000"/>
              </w:rPr>
              <w:t xml:space="preserve">3 yıl </w:t>
            </w:r>
          </w:p>
        </w:tc>
        <w:tc>
          <w:tcPr>
            <w:tcW w:w="2656" w:type="pct"/>
          </w:tcPr>
          <w:p w:rsidR="008D1EF7" w:rsidRPr="001D3430" w:rsidRDefault="008D1EF7" w:rsidP="00183332">
            <w:pPr>
              <w:pStyle w:val="NormalWeb"/>
              <w:widowControl w:val="0"/>
              <w:spacing w:before="0" w:beforeAutospacing="0" w:after="0" w:afterAutospacing="0"/>
              <w:jc w:val="center"/>
              <w:rPr>
                <w:i/>
                <w:iCs/>
                <w:color w:val="000000"/>
              </w:rPr>
            </w:pPr>
            <w:r w:rsidRPr="001D3430">
              <w:rPr>
                <w:i/>
                <w:iCs/>
                <w:color w:val="000000"/>
              </w:rPr>
              <w:t>1.58</w:t>
            </w:r>
          </w:p>
        </w:tc>
      </w:tr>
      <w:tr w:rsidR="008D1EF7" w:rsidRPr="001D3430" w:rsidTr="00183332">
        <w:trPr>
          <w:tblCellSpacing w:w="0" w:type="dxa"/>
          <w:jc w:val="center"/>
        </w:trPr>
        <w:tc>
          <w:tcPr>
            <w:tcW w:w="2344" w:type="pct"/>
          </w:tcPr>
          <w:p w:rsidR="008D1EF7" w:rsidRPr="001D3430" w:rsidRDefault="008D1EF7" w:rsidP="00183332">
            <w:pPr>
              <w:pStyle w:val="NormalWeb"/>
              <w:widowControl w:val="0"/>
              <w:spacing w:before="0" w:beforeAutospacing="0" w:after="0" w:afterAutospacing="0"/>
              <w:jc w:val="center"/>
              <w:rPr>
                <w:i/>
                <w:iCs/>
                <w:color w:val="000000"/>
              </w:rPr>
            </w:pPr>
            <w:r w:rsidRPr="001D3430">
              <w:rPr>
                <w:i/>
                <w:iCs/>
                <w:color w:val="000000"/>
              </w:rPr>
              <w:t>4 yıl</w:t>
            </w:r>
          </w:p>
        </w:tc>
        <w:tc>
          <w:tcPr>
            <w:tcW w:w="2656" w:type="pct"/>
          </w:tcPr>
          <w:p w:rsidR="008D1EF7" w:rsidRPr="001D3430" w:rsidRDefault="008D1EF7" w:rsidP="00183332">
            <w:pPr>
              <w:pStyle w:val="NormalWeb"/>
              <w:widowControl w:val="0"/>
              <w:spacing w:before="0" w:beforeAutospacing="0" w:after="0" w:afterAutospacing="0"/>
              <w:jc w:val="center"/>
              <w:rPr>
                <w:i/>
                <w:iCs/>
                <w:color w:val="000000"/>
              </w:rPr>
            </w:pPr>
            <w:r w:rsidRPr="001D3430">
              <w:rPr>
                <w:i/>
                <w:iCs/>
                <w:color w:val="000000"/>
              </w:rPr>
              <w:t>1.65</w:t>
            </w:r>
          </w:p>
        </w:tc>
      </w:tr>
      <w:tr w:rsidR="008D1EF7" w:rsidRPr="001D3430" w:rsidTr="00183332">
        <w:trPr>
          <w:tblCellSpacing w:w="0" w:type="dxa"/>
          <w:jc w:val="center"/>
        </w:trPr>
        <w:tc>
          <w:tcPr>
            <w:tcW w:w="2344" w:type="pct"/>
          </w:tcPr>
          <w:p w:rsidR="008D1EF7" w:rsidRPr="001D3430" w:rsidRDefault="008D1EF7" w:rsidP="00183332">
            <w:pPr>
              <w:pStyle w:val="NormalWeb"/>
              <w:widowControl w:val="0"/>
              <w:spacing w:before="0" w:beforeAutospacing="0" w:after="0" w:afterAutospacing="0"/>
              <w:jc w:val="center"/>
              <w:rPr>
                <w:i/>
                <w:iCs/>
                <w:color w:val="000000"/>
              </w:rPr>
            </w:pPr>
            <w:r w:rsidRPr="001D3430">
              <w:rPr>
                <w:i/>
                <w:iCs/>
                <w:color w:val="000000"/>
              </w:rPr>
              <w:t>5 yıl</w:t>
            </w:r>
          </w:p>
        </w:tc>
        <w:tc>
          <w:tcPr>
            <w:tcW w:w="2656" w:type="pct"/>
          </w:tcPr>
          <w:p w:rsidR="008D1EF7" w:rsidRPr="001D3430" w:rsidRDefault="008D1EF7" w:rsidP="00183332">
            <w:pPr>
              <w:pStyle w:val="NormalWeb"/>
              <w:widowControl w:val="0"/>
              <w:spacing w:before="0" w:beforeAutospacing="0" w:after="0" w:afterAutospacing="0"/>
              <w:jc w:val="center"/>
              <w:rPr>
                <w:i/>
                <w:iCs/>
                <w:color w:val="000000"/>
              </w:rPr>
            </w:pPr>
            <w:r w:rsidRPr="001D3430">
              <w:rPr>
                <w:i/>
                <w:iCs/>
                <w:color w:val="000000"/>
              </w:rPr>
              <w:t>1.74</w:t>
            </w:r>
          </w:p>
        </w:tc>
      </w:tr>
    </w:tbl>
    <w:p w:rsidR="008D1EF7" w:rsidRDefault="00981536" w:rsidP="008D1EF7">
      <w:pPr>
        <w:tabs>
          <w:tab w:val="left" w:pos="567"/>
        </w:tabs>
        <w:rPr>
          <w:szCs w:val="24"/>
        </w:rPr>
      </w:pPr>
      <w:r>
        <w:rPr>
          <w:szCs w:val="24"/>
        </w:rPr>
        <w:t>“</w:t>
      </w:r>
      <w:r w:rsidR="008D1EF7" w:rsidRPr="00A71548">
        <w:rPr>
          <w:szCs w:val="24"/>
        </w:rPr>
        <w:t>(4) Yapı denetimi hizmet sözleşmesinde belirtilen hizmet süresi, herhangi bir sebeple uzadığı takdirde, uzayan sürenin her yılı için üçüncü fıkrada belirtilen hizmet oranlarına göre, işin kalan kısmını kapsayacak şekilde ilave hizmet bedeli ödenir. Sözleşmede belirtilen hizmet süresi herhangi bir nedenle kısaldığı takdirde, işin tamamı üzerinden, kısalan sürenin her yılı için üçüncü fıkrada belirtilen hizmet oranları %5 azaltılarak ödenir.’’</w:t>
      </w:r>
    </w:p>
    <w:p w:rsidR="00FC4737" w:rsidRDefault="00FC4737" w:rsidP="00FC4737">
      <w:pPr>
        <w:spacing w:before="0" w:beforeAutospacing="0" w:after="0"/>
        <w:ind w:firstLine="708"/>
        <w:rPr>
          <w:rFonts w:eastAsia="MS Mincho"/>
          <w:i/>
        </w:rPr>
      </w:pPr>
    </w:p>
    <w:p w:rsidR="00FC4737" w:rsidRPr="00FC4737" w:rsidRDefault="00FC4737" w:rsidP="00FC4737">
      <w:pPr>
        <w:spacing w:before="0" w:beforeAutospacing="0" w:after="0"/>
        <w:ind w:firstLine="708"/>
        <w:rPr>
          <w:rFonts w:eastAsia="MS Mincho"/>
          <w:i/>
        </w:rPr>
      </w:pPr>
    </w:p>
    <w:p w:rsidR="00841537" w:rsidRDefault="00841537" w:rsidP="00FC4737">
      <w:pPr>
        <w:spacing w:before="0" w:beforeAutospacing="0" w:after="0"/>
        <w:ind w:firstLine="708"/>
        <w:rPr>
          <w:szCs w:val="24"/>
        </w:rPr>
      </w:pPr>
      <w:r w:rsidRPr="00BF4A99">
        <w:rPr>
          <w:b/>
          <w:szCs w:val="24"/>
        </w:rPr>
        <w:t>MADDE 1</w:t>
      </w:r>
      <w:r w:rsidR="000C379F">
        <w:rPr>
          <w:b/>
          <w:szCs w:val="24"/>
        </w:rPr>
        <w:t>8</w:t>
      </w:r>
      <w:r w:rsidRPr="00FC4737">
        <w:rPr>
          <w:szCs w:val="24"/>
        </w:rPr>
        <w:t xml:space="preserve"> - Aynı Yönetmeliğin </w:t>
      </w:r>
      <w:r w:rsidR="00D439F9" w:rsidRPr="00FC4737">
        <w:rPr>
          <w:szCs w:val="24"/>
        </w:rPr>
        <w:t>28</w:t>
      </w:r>
      <w:r w:rsidRPr="00FC4737">
        <w:rPr>
          <w:szCs w:val="24"/>
        </w:rPr>
        <w:t xml:space="preserve"> </w:t>
      </w:r>
      <w:r w:rsidR="00D439F9" w:rsidRPr="00FC4737">
        <w:rPr>
          <w:szCs w:val="24"/>
        </w:rPr>
        <w:t>i</w:t>
      </w:r>
      <w:r w:rsidRPr="00FC4737">
        <w:rPr>
          <w:szCs w:val="24"/>
        </w:rPr>
        <w:t>nci maddesinin</w:t>
      </w:r>
      <w:r w:rsidR="00D219CB" w:rsidRPr="00FC4737">
        <w:rPr>
          <w:szCs w:val="24"/>
        </w:rPr>
        <w:t xml:space="preserve"> üçüncü fıkrasında yer alan</w:t>
      </w:r>
      <w:r w:rsidR="00D219CB">
        <w:rPr>
          <w:szCs w:val="24"/>
        </w:rPr>
        <w:t xml:space="preserve"> “başvuru tarihinden itibaren en geç yedi iş günü içinde” ibaresi kaldırılmış ve</w:t>
      </w:r>
      <w:r>
        <w:rPr>
          <w:szCs w:val="24"/>
        </w:rPr>
        <w:t xml:space="preserve"> </w:t>
      </w:r>
      <w:r w:rsidR="00D439F9">
        <w:rPr>
          <w:szCs w:val="24"/>
        </w:rPr>
        <w:t>beşinci</w:t>
      </w:r>
      <w:r>
        <w:rPr>
          <w:szCs w:val="24"/>
        </w:rPr>
        <w:t xml:space="preserve"> fıkrası </w:t>
      </w:r>
      <w:r w:rsidRPr="00C43840">
        <w:rPr>
          <w:szCs w:val="24"/>
        </w:rPr>
        <w:t>aşağıdaki şekilde değiştirilmiştir.</w:t>
      </w:r>
    </w:p>
    <w:p w:rsidR="000B3AEA" w:rsidRPr="00B44A2C" w:rsidRDefault="000B3AEA" w:rsidP="00FC4737">
      <w:pPr>
        <w:spacing w:before="0" w:beforeAutospacing="0" w:after="0"/>
        <w:ind w:firstLine="708"/>
        <w:rPr>
          <w:szCs w:val="24"/>
        </w:rPr>
      </w:pPr>
    </w:p>
    <w:p w:rsidR="00B04B5B" w:rsidRDefault="00D439F9" w:rsidP="00D439F9">
      <w:pPr>
        <w:spacing w:before="0" w:beforeAutospacing="0" w:after="0"/>
        <w:ind w:firstLine="708"/>
        <w:rPr>
          <w:rFonts w:eastAsia="MS Mincho"/>
        </w:rPr>
      </w:pPr>
      <w:r>
        <w:rPr>
          <w:rFonts w:eastAsia="MS Mincho"/>
        </w:rPr>
        <w:t xml:space="preserve">“(5) </w:t>
      </w:r>
      <w:r w:rsidRPr="00807920">
        <w:rPr>
          <w:rFonts w:eastAsia="MS Mincho"/>
        </w:rPr>
        <w:t>Yapı denetim kuruluşu tarafından yapı müteahhidinden yaptırılması istenilen muayene ve deneyler belgelendirilir. Bu belgeler ile ilgili laboratuvarın muayene ve deney bedellerine ilişkin faturaları, hakediş raporunun ekinde ilgili idareye sunularak</w:t>
      </w:r>
      <w:r w:rsidR="00766665">
        <w:rPr>
          <w:rFonts w:eastAsia="MS Mincho"/>
        </w:rPr>
        <w:t xml:space="preserve"> taşıyıcı sisteme ilişkin malzeme ve imalatlara yönelik deney</w:t>
      </w:r>
      <w:r w:rsidRPr="00807920">
        <w:rPr>
          <w:rFonts w:eastAsia="MS Mincho"/>
        </w:rPr>
        <w:t xml:space="preserve"> bedeli </w:t>
      </w:r>
      <w:r w:rsidRPr="00D439F9">
        <w:rPr>
          <w:rFonts w:eastAsia="MS Mincho"/>
        </w:rPr>
        <w:t>hakedişin tahakkuk tarihinden itibaren en geç yedi iş günü içinde</w:t>
      </w:r>
      <w:r w:rsidRPr="00807920">
        <w:rPr>
          <w:rFonts w:eastAsia="MS Mincho"/>
        </w:rPr>
        <w:t xml:space="preserve"> yapı denetim kuruluşu</w:t>
      </w:r>
      <w:r w:rsidR="00DA6D28">
        <w:rPr>
          <w:rFonts w:eastAsia="MS Mincho"/>
        </w:rPr>
        <w:t>nca</w:t>
      </w:r>
      <w:r w:rsidRPr="00807920">
        <w:rPr>
          <w:rFonts w:eastAsia="MS Mincho"/>
        </w:rPr>
        <w:t xml:space="preserve"> </w:t>
      </w:r>
      <w:r>
        <w:rPr>
          <w:rFonts w:eastAsia="MS Mincho"/>
        </w:rPr>
        <w:t>laboratu</w:t>
      </w:r>
      <w:r w:rsidR="00766665">
        <w:rPr>
          <w:rFonts w:eastAsia="MS Mincho"/>
        </w:rPr>
        <w:t>v</w:t>
      </w:r>
      <w:r>
        <w:rPr>
          <w:rFonts w:eastAsia="MS Mincho"/>
        </w:rPr>
        <w:t>ar</w:t>
      </w:r>
      <w:r w:rsidR="00DA6D28">
        <w:rPr>
          <w:rFonts w:eastAsia="MS Mincho"/>
        </w:rPr>
        <w:t xml:space="preserve"> tarafından</w:t>
      </w:r>
      <w:r w:rsidR="00EC1894">
        <w:rPr>
          <w:rFonts w:eastAsia="MS Mincho"/>
        </w:rPr>
        <w:t xml:space="preserve"> açılan </w:t>
      </w:r>
      <w:r>
        <w:rPr>
          <w:rFonts w:eastAsia="MS Mincho"/>
        </w:rPr>
        <w:t>banka hesabına</w:t>
      </w:r>
      <w:r w:rsidRPr="00807920">
        <w:rPr>
          <w:rFonts w:eastAsia="MS Mincho"/>
        </w:rPr>
        <w:t xml:space="preserve"> </w:t>
      </w:r>
      <w:r>
        <w:rPr>
          <w:rFonts w:eastAsia="MS Mincho"/>
        </w:rPr>
        <w:t>yatırı</w:t>
      </w:r>
      <w:r w:rsidR="00872EC6">
        <w:rPr>
          <w:rFonts w:eastAsia="MS Mincho"/>
        </w:rPr>
        <w:t>r</w:t>
      </w:r>
      <w:r w:rsidRPr="00807920">
        <w:rPr>
          <w:rFonts w:eastAsia="MS Mincho"/>
        </w:rPr>
        <w:t>.</w:t>
      </w:r>
      <w:r>
        <w:rPr>
          <w:rFonts w:eastAsia="MS Mincho"/>
        </w:rPr>
        <w:t>”</w:t>
      </w:r>
    </w:p>
    <w:p w:rsidR="00FC4737" w:rsidRDefault="00FC4737" w:rsidP="00D439F9">
      <w:pPr>
        <w:spacing w:before="0" w:beforeAutospacing="0" w:after="0"/>
        <w:ind w:firstLine="708"/>
        <w:rPr>
          <w:rFonts w:eastAsia="MS Mincho"/>
        </w:rPr>
      </w:pPr>
    </w:p>
    <w:p w:rsidR="00EC6367" w:rsidRDefault="00EC6367" w:rsidP="00ED2CFA">
      <w:pPr>
        <w:spacing w:before="0" w:beforeAutospacing="0" w:after="0"/>
        <w:ind w:firstLine="0"/>
        <w:rPr>
          <w:color w:val="000000" w:themeColor="text1"/>
          <w:szCs w:val="24"/>
        </w:rPr>
      </w:pPr>
    </w:p>
    <w:p w:rsidR="00BB1489" w:rsidRDefault="00BB1489" w:rsidP="00BB1489">
      <w:pPr>
        <w:rPr>
          <w:szCs w:val="24"/>
        </w:rPr>
      </w:pPr>
      <w:r w:rsidRPr="0071736B">
        <w:rPr>
          <w:b/>
          <w:color w:val="000000" w:themeColor="text1"/>
          <w:szCs w:val="24"/>
        </w:rPr>
        <w:t xml:space="preserve">MADDE </w:t>
      </w:r>
      <w:r>
        <w:rPr>
          <w:b/>
          <w:color w:val="000000" w:themeColor="text1"/>
          <w:szCs w:val="24"/>
        </w:rPr>
        <w:t>1</w:t>
      </w:r>
      <w:r w:rsidR="000C379F">
        <w:rPr>
          <w:b/>
          <w:color w:val="000000" w:themeColor="text1"/>
          <w:szCs w:val="24"/>
        </w:rPr>
        <w:t>9</w:t>
      </w:r>
      <w:r w:rsidRPr="0071736B">
        <w:rPr>
          <w:b/>
          <w:color w:val="000000" w:themeColor="text1"/>
          <w:szCs w:val="24"/>
        </w:rPr>
        <w:t xml:space="preserve"> </w:t>
      </w:r>
      <w:r w:rsidRPr="0071736B">
        <w:rPr>
          <w:color w:val="000000" w:themeColor="text1"/>
          <w:szCs w:val="24"/>
        </w:rPr>
        <w:t xml:space="preserve">- </w:t>
      </w:r>
      <w:r w:rsidRPr="00B44A2C">
        <w:rPr>
          <w:szCs w:val="24"/>
        </w:rPr>
        <w:t xml:space="preserve">Aynı Yönetmeliğin </w:t>
      </w:r>
      <w:r>
        <w:rPr>
          <w:szCs w:val="24"/>
        </w:rPr>
        <w:t xml:space="preserve">29 uncu </w:t>
      </w:r>
      <w:r w:rsidRPr="00C43840">
        <w:rPr>
          <w:szCs w:val="24"/>
        </w:rPr>
        <w:t>maddesi</w:t>
      </w:r>
      <w:r w:rsidR="007F545C">
        <w:rPr>
          <w:szCs w:val="24"/>
        </w:rPr>
        <w:t>nin</w:t>
      </w:r>
      <w:r>
        <w:rPr>
          <w:szCs w:val="24"/>
        </w:rPr>
        <w:t xml:space="preserve"> başlığı</w:t>
      </w:r>
      <w:r w:rsidR="007F545C">
        <w:rPr>
          <w:szCs w:val="24"/>
        </w:rPr>
        <w:t xml:space="preserve"> ile </w:t>
      </w:r>
      <w:r>
        <w:rPr>
          <w:szCs w:val="24"/>
        </w:rPr>
        <w:t>birinci ve ikinci fıkra</w:t>
      </w:r>
      <w:r w:rsidR="00A57965">
        <w:rPr>
          <w:szCs w:val="24"/>
        </w:rPr>
        <w:t>ları</w:t>
      </w:r>
      <w:r>
        <w:rPr>
          <w:szCs w:val="24"/>
        </w:rPr>
        <w:t xml:space="preserve"> </w:t>
      </w:r>
      <w:r w:rsidRPr="00C43840">
        <w:rPr>
          <w:szCs w:val="24"/>
        </w:rPr>
        <w:t>aşağıdaki şekilde değiştirilmiştir.</w:t>
      </w:r>
    </w:p>
    <w:p w:rsidR="00A57965" w:rsidRDefault="00A57965" w:rsidP="00A57965">
      <w:pPr>
        <w:spacing w:after="100" w:afterAutospacing="1" w:line="240" w:lineRule="atLeast"/>
        <w:ind w:firstLine="708"/>
        <w:rPr>
          <w:rFonts w:eastAsia="MS Mincho"/>
          <w:b/>
          <w:bCs/>
        </w:rPr>
      </w:pPr>
      <w:r>
        <w:rPr>
          <w:rFonts w:eastAsia="MS Mincho"/>
          <w:b/>
          <w:bCs/>
        </w:rPr>
        <w:t>Yeni iş almaktan men</w:t>
      </w:r>
      <w:r w:rsidRPr="00807920">
        <w:rPr>
          <w:rFonts w:eastAsia="MS Mincho"/>
          <w:b/>
          <w:bCs/>
        </w:rPr>
        <w:t xml:space="preserve"> cezası verilmesi, yapı denetim izin belgesinin iptali veya sözleşmenin feshi sonrasında hizmet bedellerinin ödenmesi</w:t>
      </w:r>
    </w:p>
    <w:p w:rsidR="00FC4737" w:rsidRDefault="00FC4737" w:rsidP="00BB1489">
      <w:pPr>
        <w:spacing w:after="100" w:afterAutospacing="1" w:line="240" w:lineRule="atLeast"/>
        <w:ind w:firstLine="708"/>
        <w:rPr>
          <w:rFonts w:eastAsia="MS Mincho"/>
        </w:rPr>
      </w:pPr>
    </w:p>
    <w:p w:rsidR="00BB1489" w:rsidRDefault="00BB1489" w:rsidP="00BB1489">
      <w:pPr>
        <w:spacing w:after="100" w:afterAutospacing="1" w:line="240" w:lineRule="atLeast"/>
        <w:ind w:firstLine="708"/>
        <w:rPr>
          <w:rFonts w:eastAsia="MS Mincho"/>
        </w:rPr>
      </w:pPr>
      <w:r>
        <w:rPr>
          <w:rFonts w:eastAsia="MS Mincho"/>
        </w:rPr>
        <w:t>“</w:t>
      </w:r>
      <w:r w:rsidRPr="00807920">
        <w:rPr>
          <w:rFonts w:eastAsia="MS Mincho"/>
        </w:rPr>
        <w:t xml:space="preserve">(1) </w:t>
      </w:r>
      <w:r>
        <w:rPr>
          <w:rFonts w:eastAsia="MS Mincho"/>
        </w:rPr>
        <w:t xml:space="preserve">Yeni iş almaktan men cezasına </w:t>
      </w:r>
      <w:r w:rsidRPr="00807920">
        <w:rPr>
          <w:rFonts w:eastAsia="MS Mincho"/>
        </w:rPr>
        <w:t>yol açan denetim işlerinde, ilgili idaresince bu işe ilişkin denetimsizliğin başladığı seviye tespit edilir ve bu seviyeden sonraki yapı</w:t>
      </w:r>
      <w:r w:rsidR="00981536">
        <w:rPr>
          <w:rFonts w:eastAsia="MS Mincho"/>
        </w:rPr>
        <w:t xml:space="preserve"> denetim hizmet bedeli ödenmez.”</w:t>
      </w:r>
    </w:p>
    <w:p w:rsidR="007F545C" w:rsidRDefault="00FC4737" w:rsidP="00A26178">
      <w:pPr>
        <w:shd w:val="clear" w:color="auto" w:fill="FFFFFF"/>
        <w:spacing w:before="0" w:beforeAutospacing="0" w:after="0" w:line="240" w:lineRule="atLeast"/>
        <w:ind w:firstLine="540"/>
        <w:rPr>
          <w:rFonts w:eastAsia="MS Mincho"/>
        </w:rPr>
      </w:pPr>
      <w:r>
        <w:rPr>
          <w:rFonts w:eastAsia="MS Mincho"/>
          <w:i/>
        </w:rPr>
        <w:lastRenderedPageBreak/>
        <w:t>“</w:t>
      </w:r>
      <w:r w:rsidR="00BB1489" w:rsidRPr="00807920">
        <w:rPr>
          <w:rFonts w:eastAsia="MS Mincho"/>
        </w:rPr>
        <w:t xml:space="preserve">(2) </w:t>
      </w:r>
      <w:r w:rsidR="007F545C">
        <w:rPr>
          <w:rFonts w:eastAsia="MS Mincho"/>
        </w:rPr>
        <w:t>Y</w:t>
      </w:r>
      <w:r w:rsidR="007F545C" w:rsidRPr="00807920">
        <w:rPr>
          <w:rFonts w:eastAsia="MS Mincho"/>
        </w:rPr>
        <w:t>apı d</w:t>
      </w:r>
      <w:r w:rsidR="007F545C">
        <w:rPr>
          <w:rFonts w:eastAsia="MS Mincho"/>
        </w:rPr>
        <w:t>enetim izin belgesi iptal edilmesi</w:t>
      </w:r>
      <w:r w:rsidR="007F545C" w:rsidRPr="00807920">
        <w:rPr>
          <w:rFonts w:eastAsia="MS Mincho"/>
        </w:rPr>
        <w:t xml:space="preserve"> veya sözleşme feshi</w:t>
      </w:r>
      <w:r w:rsidR="007F545C">
        <w:rPr>
          <w:rFonts w:eastAsia="MS Mincho"/>
        </w:rPr>
        <w:t xml:space="preserve"> veya yeni iş almaktan men cezası</w:t>
      </w:r>
      <w:r w:rsidR="007F545C" w:rsidRPr="00807920">
        <w:rPr>
          <w:rFonts w:eastAsia="MS Mincho"/>
        </w:rPr>
        <w:t xml:space="preserve"> sebebiyle yapı denetim kuruluşunun ilişiği kesilen işler için, en geç on beş iş günü içinde, yapı denetim kuruluşu, yapı sahibi ve yapı müteahhidi tarafından ek-22’de gösterilen form-20’ye uygun bir seviye tespit tutanağı tanzim edilir ve ilgili idarenin onayına sunulur. Seviye tespit tutanağı esas alınarak, yapı denetim kuruluşunun mevzuata uygun şekilde yapmış</w:t>
      </w:r>
      <w:r w:rsidR="007F545C">
        <w:rPr>
          <w:rFonts w:eastAsia="MS Mincho"/>
        </w:rPr>
        <w:t xml:space="preserve"> </w:t>
      </w:r>
      <w:r w:rsidR="007F545C" w:rsidRPr="00807920">
        <w:rPr>
          <w:rFonts w:eastAsia="MS Mincho"/>
        </w:rPr>
        <w:t>olduğu denetim hizmetlerinin karşılığı olarak, süresi içinde müracaat edip daha önce almamış olduğu hakedişleri ödenir.</w:t>
      </w:r>
      <w:r w:rsidR="007F545C">
        <w:rPr>
          <w:rFonts w:eastAsia="MS Mincho"/>
        </w:rPr>
        <w:t>”</w:t>
      </w:r>
      <w:r w:rsidR="007F545C" w:rsidRPr="00807920">
        <w:rPr>
          <w:rFonts w:eastAsia="MS Mincho"/>
        </w:rPr>
        <w:t xml:space="preserve"> </w:t>
      </w:r>
    </w:p>
    <w:p w:rsidR="00FC4737" w:rsidRDefault="00FC4737" w:rsidP="007F545C">
      <w:pPr>
        <w:spacing w:after="100" w:afterAutospacing="1" w:line="240" w:lineRule="atLeast"/>
        <w:ind w:firstLine="708"/>
        <w:rPr>
          <w:rFonts w:eastAsia="MS Mincho"/>
        </w:rPr>
      </w:pPr>
    </w:p>
    <w:p w:rsidR="00DC76E1" w:rsidRDefault="00DC76E1" w:rsidP="00DC76E1">
      <w:pPr>
        <w:rPr>
          <w:szCs w:val="24"/>
        </w:rPr>
      </w:pPr>
      <w:r w:rsidRPr="0071736B">
        <w:rPr>
          <w:b/>
          <w:color w:val="000000" w:themeColor="text1"/>
          <w:szCs w:val="24"/>
        </w:rPr>
        <w:t xml:space="preserve">MADDE </w:t>
      </w:r>
      <w:r w:rsidR="00B02E3F">
        <w:rPr>
          <w:b/>
          <w:color w:val="000000" w:themeColor="text1"/>
          <w:szCs w:val="24"/>
        </w:rPr>
        <w:t>20</w:t>
      </w:r>
      <w:r w:rsidRPr="0071736B">
        <w:rPr>
          <w:b/>
          <w:color w:val="000000" w:themeColor="text1"/>
          <w:szCs w:val="24"/>
        </w:rPr>
        <w:t xml:space="preserve"> </w:t>
      </w:r>
      <w:r w:rsidRPr="0071736B">
        <w:rPr>
          <w:color w:val="000000" w:themeColor="text1"/>
          <w:szCs w:val="24"/>
        </w:rPr>
        <w:t xml:space="preserve">- </w:t>
      </w:r>
      <w:r w:rsidRPr="00B44A2C">
        <w:rPr>
          <w:szCs w:val="24"/>
        </w:rPr>
        <w:t xml:space="preserve">Aynı Yönetmeliğin </w:t>
      </w:r>
      <w:r>
        <w:rPr>
          <w:szCs w:val="24"/>
        </w:rPr>
        <w:t>yedinci bölüm başlığı  “Yapılara Sertifika Verilmesi ve Teminat” şeklinde değiştirilmiştir.</w:t>
      </w:r>
    </w:p>
    <w:p w:rsidR="00766665" w:rsidRDefault="00766665" w:rsidP="00766665">
      <w:pPr>
        <w:rPr>
          <w:color w:val="000000" w:themeColor="text1"/>
          <w:szCs w:val="24"/>
        </w:rPr>
      </w:pPr>
      <w:r w:rsidRPr="0071736B">
        <w:rPr>
          <w:b/>
          <w:color w:val="000000" w:themeColor="text1"/>
          <w:szCs w:val="24"/>
        </w:rPr>
        <w:t xml:space="preserve">MADDE </w:t>
      </w:r>
      <w:r w:rsidR="00536BBC">
        <w:rPr>
          <w:b/>
          <w:color w:val="000000" w:themeColor="text1"/>
          <w:szCs w:val="24"/>
        </w:rPr>
        <w:t>2</w:t>
      </w:r>
      <w:r w:rsidR="00B02E3F">
        <w:rPr>
          <w:b/>
          <w:color w:val="000000" w:themeColor="text1"/>
          <w:szCs w:val="24"/>
        </w:rPr>
        <w:t>1</w:t>
      </w:r>
      <w:r w:rsidRPr="0071736B">
        <w:rPr>
          <w:b/>
          <w:color w:val="000000" w:themeColor="text1"/>
          <w:szCs w:val="24"/>
        </w:rPr>
        <w:t xml:space="preserve"> </w:t>
      </w:r>
      <w:r w:rsidRPr="0071736B">
        <w:rPr>
          <w:color w:val="000000" w:themeColor="text1"/>
          <w:szCs w:val="24"/>
        </w:rPr>
        <w:t xml:space="preserve">- </w:t>
      </w:r>
      <w:r w:rsidR="00A03677" w:rsidRPr="0071736B">
        <w:rPr>
          <w:color w:val="000000" w:themeColor="text1"/>
          <w:szCs w:val="24"/>
        </w:rPr>
        <w:t xml:space="preserve">Aynı Yönetmeliğin </w:t>
      </w:r>
      <w:r w:rsidR="00A03677">
        <w:rPr>
          <w:color w:val="000000" w:themeColor="text1"/>
          <w:szCs w:val="24"/>
        </w:rPr>
        <w:t>31’inci</w:t>
      </w:r>
      <w:r w:rsidR="00A03677" w:rsidRPr="0071736B">
        <w:rPr>
          <w:color w:val="000000" w:themeColor="text1"/>
          <w:szCs w:val="24"/>
        </w:rPr>
        <w:t xml:space="preserve"> maddesin</w:t>
      </w:r>
      <w:r w:rsidR="00A03677">
        <w:rPr>
          <w:color w:val="000000" w:themeColor="text1"/>
          <w:szCs w:val="24"/>
        </w:rPr>
        <w:t>den</w:t>
      </w:r>
      <w:r w:rsidR="00A03677" w:rsidRPr="0071736B">
        <w:rPr>
          <w:color w:val="000000" w:themeColor="text1"/>
          <w:szCs w:val="24"/>
        </w:rPr>
        <w:t xml:space="preserve"> </w:t>
      </w:r>
      <w:r w:rsidR="00A03677">
        <w:rPr>
          <w:color w:val="000000" w:themeColor="text1"/>
          <w:szCs w:val="24"/>
        </w:rPr>
        <w:t>sonra gelmek üzere aşağıdaki maddeler eklenmiş ve sonraki maddeler buna göre teselsül ettirilmiştir.</w:t>
      </w:r>
    </w:p>
    <w:p w:rsidR="0017738D" w:rsidRDefault="0017738D" w:rsidP="00766665">
      <w:pPr>
        <w:rPr>
          <w:b/>
          <w:color w:val="000000" w:themeColor="text1"/>
          <w:szCs w:val="24"/>
        </w:rPr>
      </w:pPr>
      <w:r>
        <w:rPr>
          <w:color w:val="000000" w:themeColor="text1"/>
          <w:szCs w:val="24"/>
        </w:rPr>
        <w:tab/>
        <w:t>“</w:t>
      </w:r>
      <w:r w:rsidRPr="0017738D">
        <w:rPr>
          <w:b/>
          <w:color w:val="000000" w:themeColor="text1"/>
          <w:szCs w:val="24"/>
        </w:rPr>
        <w:t>Teminat</w:t>
      </w:r>
      <w:r w:rsidR="004F3286">
        <w:rPr>
          <w:b/>
          <w:color w:val="000000" w:themeColor="text1"/>
          <w:szCs w:val="24"/>
        </w:rPr>
        <w:t xml:space="preserve"> alınması,</w:t>
      </w:r>
      <w:r w:rsidRPr="0017738D">
        <w:rPr>
          <w:b/>
          <w:color w:val="000000" w:themeColor="text1"/>
          <w:szCs w:val="24"/>
        </w:rPr>
        <w:t xml:space="preserve"> </w:t>
      </w:r>
      <w:r>
        <w:rPr>
          <w:b/>
          <w:color w:val="000000" w:themeColor="text1"/>
          <w:szCs w:val="24"/>
        </w:rPr>
        <w:t>tutarı</w:t>
      </w:r>
      <w:r w:rsidR="004F3286">
        <w:rPr>
          <w:b/>
          <w:color w:val="000000" w:themeColor="text1"/>
          <w:szCs w:val="24"/>
        </w:rPr>
        <w:t xml:space="preserve"> ve türü</w:t>
      </w:r>
    </w:p>
    <w:p w:rsidR="0017738D" w:rsidRPr="00F14856" w:rsidRDefault="0017738D" w:rsidP="00F14856">
      <w:pPr>
        <w:rPr>
          <w:rFonts w:eastAsia="MS Mincho"/>
          <w:bCs/>
        </w:rPr>
      </w:pPr>
      <w:r>
        <w:rPr>
          <w:b/>
          <w:color w:val="000000" w:themeColor="text1"/>
          <w:szCs w:val="24"/>
        </w:rPr>
        <w:t xml:space="preserve">32) </w:t>
      </w:r>
      <w:r w:rsidRPr="00F14856">
        <w:rPr>
          <w:color w:val="000000" w:themeColor="text1"/>
          <w:szCs w:val="24"/>
        </w:rPr>
        <w:t>(1)</w:t>
      </w:r>
      <w:r w:rsidR="00F14856">
        <w:rPr>
          <w:color w:val="000000" w:themeColor="text1"/>
          <w:szCs w:val="24"/>
        </w:rPr>
        <w:t xml:space="preserve"> </w:t>
      </w:r>
      <w:r w:rsidR="00F14856">
        <w:rPr>
          <w:rFonts w:eastAsia="MS Mincho"/>
          <w:bCs/>
        </w:rPr>
        <w:t xml:space="preserve">Bakanlıktan İzin Belgesi almak üzere müracaatta bulunan yapı denetim kuruluşlarından  </w:t>
      </w:r>
      <w:r w:rsidR="00F14053">
        <w:rPr>
          <w:rFonts w:eastAsia="MS Mincho"/>
          <w:bCs/>
        </w:rPr>
        <w:t>200.000,00</w:t>
      </w:r>
      <w:r w:rsidR="00F14856">
        <w:rPr>
          <w:rFonts w:eastAsia="MS Mincho"/>
          <w:bCs/>
        </w:rPr>
        <w:t xml:space="preserve"> TL.  tutarında, laboratuvar</w:t>
      </w:r>
      <w:r w:rsidR="009D54E1">
        <w:rPr>
          <w:rFonts w:eastAsia="MS Mincho"/>
          <w:bCs/>
        </w:rPr>
        <w:t>lardan</w:t>
      </w:r>
      <w:r w:rsidR="00F14856">
        <w:rPr>
          <w:rFonts w:eastAsia="MS Mincho"/>
          <w:bCs/>
        </w:rPr>
        <w:t xml:space="preserve"> ise </w:t>
      </w:r>
      <w:r w:rsidR="007537A6">
        <w:rPr>
          <w:rFonts w:eastAsia="MS Mincho"/>
          <w:bCs/>
        </w:rPr>
        <w:t>3</w:t>
      </w:r>
      <w:r w:rsidR="00F14053">
        <w:rPr>
          <w:rFonts w:eastAsia="MS Mincho"/>
          <w:bCs/>
        </w:rPr>
        <w:t>0.000,00</w:t>
      </w:r>
      <w:r w:rsidR="00C0374D">
        <w:rPr>
          <w:rFonts w:eastAsia="MS Mincho"/>
          <w:bCs/>
        </w:rPr>
        <w:t xml:space="preserve"> </w:t>
      </w:r>
      <w:r w:rsidR="00F14856">
        <w:rPr>
          <w:rFonts w:eastAsia="MS Mincho"/>
          <w:bCs/>
        </w:rPr>
        <w:t xml:space="preserve">TL. </w:t>
      </w:r>
      <w:r w:rsidR="00326CE4">
        <w:rPr>
          <w:rFonts w:eastAsia="MS Mincho"/>
          <w:bCs/>
        </w:rPr>
        <w:t>tutarında</w:t>
      </w:r>
      <w:r w:rsidR="00F14856">
        <w:rPr>
          <w:rFonts w:eastAsia="MS Mincho"/>
          <w:bCs/>
        </w:rPr>
        <w:t xml:space="preserve"> teminat</w:t>
      </w:r>
      <w:r w:rsidR="00F14856" w:rsidRPr="00AD4F8D">
        <w:rPr>
          <w:rFonts w:eastAsia="MS Mincho"/>
          <w:bCs/>
        </w:rPr>
        <w:t xml:space="preserve"> </w:t>
      </w:r>
      <w:r w:rsidR="00F14856">
        <w:rPr>
          <w:rFonts w:eastAsia="MS Mincho"/>
          <w:bCs/>
        </w:rPr>
        <w:t xml:space="preserve">alınacaktır. </w:t>
      </w:r>
    </w:p>
    <w:p w:rsidR="004F3286" w:rsidRDefault="0017738D" w:rsidP="004F3286">
      <w:pPr>
        <w:spacing w:line="0" w:lineRule="atLeast"/>
        <w:ind w:left="708" w:firstLine="0"/>
      </w:pPr>
      <w:r>
        <w:rPr>
          <w:b/>
          <w:color w:val="000000" w:themeColor="text1"/>
          <w:szCs w:val="24"/>
        </w:rPr>
        <w:t xml:space="preserve"> </w:t>
      </w:r>
      <w:r w:rsidRPr="0017738D">
        <w:rPr>
          <w:color w:val="000000" w:themeColor="text1"/>
          <w:szCs w:val="24"/>
        </w:rPr>
        <w:t>(</w:t>
      </w:r>
      <w:r>
        <w:rPr>
          <w:color w:val="000000" w:themeColor="text1"/>
          <w:szCs w:val="24"/>
        </w:rPr>
        <w:t>2</w:t>
      </w:r>
      <w:r w:rsidRPr="0017738D">
        <w:rPr>
          <w:color w:val="000000" w:themeColor="text1"/>
          <w:szCs w:val="24"/>
        </w:rPr>
        <w:t>)</w:t>
      </w:r>
      <w:r w:rsidRPr="0017738D">
        <w:t xml:space="preserve"> </w:t>
      </w:r>
      <w:r w:rsidRPr="00D54453">
        <w:t>Teminat olarak kabul edilecek değerler</w:t>
      </w:r>
      <w:r w:rsidR="004F3286">
        <w:t>;</w:t>
      </w:r>
    </w:p>
    <w:p w:rsidR="004F3286" w:rsidRPr="004F3286" w:rsidRDefault="004F3286" w:rsidP="004F3286">
      <w:pPr>
        <w:spacing w:line="0" w:lineRule="atLeast"/>
        <w:ind w:left="708" w:firstLine="0"/>
      </w:pPr>
      <w:r>
        <w:rPr>
          <w:color w:val="000000" w:themeColor="text1"/>
          <w:szCs w:val="24"/>
        </w:rPr>
        <w:t xml:space="preserve">       </w:t>
      </w:r>
      <w:r>
        <w:rPr>
          <w:rFonts w:eastAsia="MS Mincho"/>
          <w:bCs/>
        </w:rPr>
        <w:t>a) Tedavüldeki Türk Parası,</w:t>
      </w:r>
    </w:p>
    <w:p w:rsidR="004F3286" w:rsidRPr="009B7BD0" w:rsidRDefault="004F3286" w:rsidP="004E5DA4">
      <w:r>
        <w:t xml:space="preserve">       </w:t>
      </w:r>
      <w:r w:rsidRPr="009B7BD0">
        <w:t xml:space="preserve">b) Bankalar ve özel finans kurumları tarafından verilen </w:t>
      </w:r>
      <w:r w:rsidR="000C7ADC">
        <w:t xml:space="preserve">Ek-30’da gösterilen form-28’e uygun </w:t>
      </w:r>
      <w:r>
        <w:t xml:space="preserve">süresiz </w:t>
      </w:r>
      <w:r w:rsidR="004E5DA4">
        <w:t xml:space="preserve">teminat </w:t>
      </w:r>
      <w:r>
        <w:t xml:space="preserve">mektupları, </w:t>
      </w:r>
    </w:p>
    <w:p w:rsidR="004F3286" w:rsidRDefault="004F3286" w:rsidP="004F3286">
      <w:pPr>
        <w:ind w:left="142" w:firstLine="567"/>
        <w:rPr>
          <w:rFonts w:eastAsia="MS Mincho"/>
          <w:bCs/>
        </w:rPr>
      </w:pPr>
      <w:r>
        <w:rPr>
          <w:rFonts w:eastAsia="MS Mincho"/>
          <w:bCs/>
        </w:rPr>
        <w:t xml:space="preserve">      </w:t>
      </w:r>
      <w:r w:rsidRPr="009B7BD0">
        <w:rPr>
          <w:rFonts w:eastAsia="MS Mincho"/>
          <w:bCs/>
        </w:rPr>
        <w:t>c) Hazine Müsteşarlığınca ihraç edilen Devl</w:t>
      </w:r>
      <w:r>
        <w:rPr>
          <w:rFonts w:eastAsia="MS Mincho"/>
          <w:bCs/>
        </w:rPr>
        <w:t xml:space="preserve">et İç Borçlanma Senetleri ve bu </w:t>
      </w:r>
      <w:r w:rsidRPr="00B94046">
        <w:t>senetler yerine düzenlenen belgeler</w:t>
      </w:r>
      <w:r w:rsidR="00EE5177" w:rsidRPr="00B94046">
        <w:t>,</w:t>
      </w:r>
    </w:p>
    <w:p w:rsidR="00EE5177" w:rsidRPr="009B7BD0" w:rsidRDefault="00EE5177" w:rsidP="004F3286">
      <w:pPr>
        <w:ind w:left="142" w:firstLine="567"/>
        <w:rPr>
          <w:rFonts w:eastAsia="MS Mincho"/>
          <w:bCs/>
        </w:rPr>
      </w:pPr>
      <w:r>
        <w:rPr>
          <w:rFonts w:eastAsia="MS Mincho"/>
          <w:bCs/>
        </w:rPr>
        <w:t xml:space="preserve">     d)</w:t>
      </w:r>
      <w:r w:rsidRPr="00EE5177">
        <w:rPr>
          <w:rFonts w:eastAsia="MS Mincho"/>
          <w:bCs/>
        </w:rPr>
        <w:t xml:space="preserve"> </w:t>
      </w:r>
      <w:r w:rsidRPr="009B7BD0">
        <w:rPr>
          <w:rFonts w:eastAsia="MS Mincho"/>
          <w:bCs/>
        </w:rPr>
        <w:t xml:space="preserve">İlgili mevzuatına göre Türkiye’de faaliyette bulunmasına izin verilen yabancı bankaların düzenleyecekleri </w:t>
      </w:r>
      <w:r w:rsidR="000C7ADC">
        <w:rPr>
          <w:rFonts w:eastAsia="MS Mincho"/>
          <w:bCs/>
        </w:rPr>
        <w:t xml:space="preserve">süresiz </w:t>
      </w:r>
      <w:r w:rsidRPr="009B7BD0">
        <w:rPr>
          <w:rFonts w:eastAsia="MS Mincho"/>
          <w:bCs/>
        </w:rPr>
        <w:t xml:space="preserve">teminat mektupları ile Türkiye dışında faaliyette bulunan banka veya benzeri kredi kuruluşlarının kontrgarantisi üzerine Türkiye’de faaliyette bulunan bankaların veya özel finans kurumlarının düzenleyecekleri </w:t>
      </w:r>
      <w:r w:rsidR="00787289">
        <w:rPr>
          <w:rFonts w:eastAsia="MS Mincho"/>
          <w:bCs/>
        </w:rPr>
        <w:t xml:space="preserve">süresiz </w:t>
      </w:r>
      <w:r w:rsidRPr="009B7BD0">
        <w:rPr>
          <w:rFonts w:eastAsia="MS Mincho"/>
          <w:bCs/>
        </w:rPr>
        <w:t>teminat mektupları</w:t>
      </w:r>
      <w:r>
        <w:rPr>
          <w:rFonts w:eastAsia="MS Mincho"/>
          <w:bCs/>
        </w:rPr>
        <w:t>dır.</w:t>
      </w:r>
    </w:p>
    <w:p w:rsidR="007D7BA4" w:rsidRPr="00C4481F" w:rsidRDefault="0017738D" w:rsidP="007D7BA4">
      <w:pPr>
        <w:ind w:firstLine="708"/>
        <w:rPr>
          <w:snapToGrid w:val="0"/>
        </w:rPr>
      </w:pPr>
      <w:r>
        <w:t xml:space="preserve">(3) </w:t>
      </w:r>
      <w:r w:rsidR="007D7BA4" w:rsidRPr="00C4481F">
        <w:rPr>
          <w:snapToGrid w:val="0"/>
        </w:rPr>
        <w:t xml:space="preserve">Teminat mektupları dışındaki teminatlar </w:t>
      </w:r>
      <w:r w:rsidR="007D7BA4">
        <w:rPr>
          <w:snapToGrid w:val="0"/>
        </w:rPr>
        <w:t>Bakanlık</w:t>
      </w:r>
      <w:r w:rsidR="00801AAA">
        <w:rPr>
          <w:snapToGrid w:val="0"/>
        </w:rPr>
        <w:t xml:space="preserve"> birimlerince</w:t>
      </w:r>
      <w:r w:rsidR="007D7BA4" w:rsidRPr="00C4481F">
        <w:rPr>
          <w:snapToGrid w:val="0"/>
        </w:rPr>
        <w:t xml:space="preserve"> teslim alınamaz. Bunların saymanlık ya da muhasebe müdürlüklerine yatırılması zorunludur. </w:t>
      </w:r>
    </w:p>
    <w:p w:rsidR="0017738D" w:rsidRPr="00D54453" w:rsidRDefault="000C7ADC" w:rsidP="0017738D">
      <w:pPr>
        <w:spacing w:line="0" w:lineRule="atLeast"/>
      </w:pPr>
      <w:r>
        <w:t>(</w:t>
      </w:r>
      <w:r w:rsidR="0017738D">
        <w:t xml:space="preserve">4) </w:t>
      </w:r>
      <w:r w:rsidR="0017738D" w:rsidRPr="00D54453">
        <w:t>Teminatlar, teminat olarak kabul edilen diğer değerlerle değiştirilebilir.</w:t>
      </w:r>
    </w:p>
    <w:p w:rsidR="0017738D" w:rsidRDefault="0017738D" w:rsidP="0017738D">
      <w:pPr>
        <w:spacing w:line="0" w:lineRule="atLeast"/>
      </w:pPr>
      <w:r>
        <w:t xml:space="preserve">(5) </w:t>
      </w:r>
      <w:r w:rsidRPr="00D54453">
        <w:t>Her ne suretle olursa olsun, alınan teminatlar haczedilemez ve üzerine ihtiyati tedbir konulamaz.</w:t>
      </w:r>
    </w:p>
    <w:p w:rsidR="004F3286" w:rsidRDefault="004F3286" w:rsidP="0017738D">
      <w:pPr>
        <w:spacing w:line="0" w:lineRule="atLeast"/>
        <w:rPr>
          <w:rFonts w:eastAsia="MS Mincho"/>
          <w:bCs/>
        </w:rPr>
      </w:pPr>
      <w:r>
        <w:t xml:space="preserve"> (6)</w:t>
      </w:r>
      <w:r w:rsidR="00EE5177" w:rsidRPr="00EE5177">
        <w:rPr>
          <w:rFonts w:eastAsia="MS Mincho"/>
          <w:bCs/>
        </w:rPr>
        <w:t xml:space="preserve"> </w:t>
      </w:r>
      <w:r w:rsidR="00EE5177">
        <w:rPr>
          <w:rFonts w:eastAsia="MS Mincho"/>
          <w:bCs/>
        </w:rPr>
        <w:t xml:space="preserve">Teminat tutarları, her yıl için </w:t>
      </w:r>
      <w:r w:rsidR="00EE5177" w:rsidRPr="00B93D9E">
        <w:rPr>
          <w:rFonts w:eastAsia="MS Mincho"/>
          <w:bCs/>
        </w:rPr>
        <w:t xml:space="preserve">bir önceki yılın Toptan Eşya Fiyat Endeksi esas alınarak </w:t>
      </w:r>
      <w:r w:rsidR="00EE5177">
        <w:rPr>
          <w:rFonts w:eastAsia="MS Mincho"/>
          <w:bCs/>
        </w:rPr>
        <w:t>Merkez Yapı Denetim Komisyonu</w:t>
      </w:r>
      <w:r w:rsidR="00EE5177" w:rsidRPr="00B93D9E">
        <w:rPr>
          <w:rFonts w:eastAsia="MS Mincho"/>
          <w:bCs/>
        </w:rPr>
        <w:t xml:space="preserve"> tarafından güncellenir ve her yıl 1 Şubat tarihinden geçerli olmak üzere aynı tarihe kadar Resmî Gazetede ilân edilir.</w:t>
      </w:r>
      <w:r w:rsidR="00EE5177">
        <w:rPr>
          <w:rFonts w:eastAsia="MS Mincho"/>
          <w:bCs/>
        </w:rPr>
        <w:t xml:space="preserve"> </w:t>
      </w:r>
    </w:p>
    <w:p w:rsidR="00E54107" w:rsidRDefault="009934D6" w:rsidP="0017738D">
      <w:pPr>
        <w:spacing w:line="0" w:lineRule="atLeast"/>
        <w:rPr>
          <w:rFonts w:eastAsia="MS Mincho"/>
          <w:bCs/>
        </w:rPr>
      </w:pPr>
      <w:r>
        <w:rPr>
          <w:rFonts w:eastAsia="MS Mincho"/>
          <w:bCs/>
        </w:rPr>
        <w:lastRenderedPageBreak/>
        <w:t xml:space="preserve"> (7) Bakanlıktan izin belgesi almak isteyen yapı denetim kuruluşları ve laboratuvar</w:t>
      </w:r>
      <w:r w:rsidR="009A73E9">
        <w:rPr>
          <w:rFonts w:eastAsia="MS Mincho"/>
          <w:bCs/>
        </w:rPr>
        <w:t>lardan</w:t>
      </w:r>
      <w:r>
        <w:rPr>
          <w:rFonts w:eastAsia="MS Mincho"/>
          <w:bCs/>
        </w:rPr>
        <w:t xml:space="preserve"> başvuruya ilişkin </w:t>
      </w:r>
      <w:r w:rsidR="00974B0D">
        <w:rPr>
          <w:rFonts w:eastAsia="MS Mincho"/>
          <w:bCs/>
        </w:rPr>
        <w:t xml:space="preserve">evraklarını </w:t>
      </w:r>
      <w:r w:rsidR="000C7ADC">
        <w:rPr>
          <w:rFonts w:eastAsia="MS Mincho"/>
          <w:bCs/>
        </w:rPr>
        <w:t>eksiksiz sunduğu</w:t>
      </w:r>
      <w:r w:rsidR="00974B0D">
        <w:rPr>
          <w:rFonts w:eastAsia="MS Mincho"/>
          <w:bCs/>
        </w:rPr>
        <w:t xml:space="preserve"> tarih</w:t>
      </w:r>
      <w:r w:rsidR="009A73E9">
        <w:rPr>
          <w:rFonts w:eastAsia="MS Mincho"/>
          <w:bCs/>
        </w:rPr>
        <w:t>te</w:t>
      </w:r>
      <w:r w:rsidR="009B3882">
        <w:rPr>
          <w:rFonts w:eastAsia="MS Mincho"/>
          <w:bCs/>
        </w:rPr>
        <w:t xml:space="preserve">ki </w:t>
      </w:r>
      <w:r w:rsidR="00974B0D">
        <w:rPr>
          <w:rFonts w:eastAsia="MS Mincho"/>
          <w:bCs/>
        </w:rPr>
        <w:t>altıncı fıkra uyarınca belirlenen miktarda teminat alınır.</w:t>
      </w:r>
    </w:p>
    <w:p w:rsidR="009934D6" w:rsidRDefault="00E54107" w:rsidP="0017738D">
      <w:pPr>
        <w:spacing w:line="0" w:lineRule="atLeast"/>
        <w:rPr>
          <w:rFonts w:eastAsia="MS Mincho"/>
          <w:bCs/>
        </w:rPr>
      </w:pPr>
      <w:r>
        <w:rPr>
          <w:rFonts w:eastAsia="MS Mincho"/>
          <w:bCs/>
        </w:rPr>
        <w:t>(8)</w:t>
      </w:r>
      <w:r w:rsidR="00646F06">
        <w:rPr>
          <w:rFonts w:eastAsia="MS Mincho"/>
          <w:bCs/>
        </w:rPr>
        <w:t xml:space="preserve"> </w:t>
      </w:r>
      <w:r>
        <w:rPr>
          <w:rFonts w:eastAsia="MS Mincho"/>
          <w:bCs/>
        </w:rPr>
        <w:t>Yapı denetim kuruluşları ve laboratuvarlardan</w:t>
      </w:r>
      <w:r w:rsidR="002D4B07">
        <w:rPr>
          <w:rFonts w:eastAsia="MS Mincho"/>
          <w:bCs/>
        </w:rPr>
        <w:t xml:space="preserve"> vize aşamasında,</w:t>
      </w:r>
      <w:r>
        <w:rPr>
          <w:rFonts w:eastAsia="MS Mincho"/>
          <w:bCs/>
        </w:rPr>
        <w:t xml:space="preserve"> </w:t>
      </w:r>
      <w:r w:rsidR="002D4B07">
        <w:rPr>
          <w:rFonts w:eastAsia="MS Mincho"/>
          <w:bCs/>
        </w:rPr>
        <w:t xml:space="preserve">daha önce alınan teminat bedelleri ile </w:t>
      </w:r>
      <w:r w:rsidR="002A2514">
        <w:rPr>
          <w:rFonts w:eastAsia="MS Mincho"/>
          <w:bCs/>
        </w:rPr>
        <w:t>vizeye ilişkin evrakların eksiksiz sunulduğu</w:t>
      </w:r>
      <w:r w:rsidR="002D4B07">
        <w:rPr>
          <w:rFonts w:eastAsia="MS Mincho"/>
          <w:bCs/>
        </w:rPr>
        <w:t xml:space="preserve"> </w:t>
      </w:r>
      <w:r w:rsidR="00C209E5">
        <w:rPr>
          <w:rFonts w:eastAsia="MS Mincho"/>
          <w:bCs/>
        </w:rPr>
        <w:t xml:space="preserve">tarih </w:t>
      </w:r>
      <w:r w:rsidR="002D4B07">
        <w:rPr>
          <w:rFonts w:eastAsia="MS Mincho"/>
          <w:bCs/>
        </w:rPr>
        <w:t xml:space="preserve">için </w:t>
      </w:r>
      <w:r>
        <w:rPr>
          <w:rFonts w:eastAsia="MS Mincho"/>
          <w:bCs/>
        </w:rPr>
        <w:t>altıncı fıkra uyarınca belirlene</w:t>
      </w:r>
      <w:r w:rsidR="00C209E5">
        <w:rPr>
          <w:rFonts w:eastAsia="MS Mincho"/>
          <w:bCs/>
        </w:rPr>
        <w:t>n</w:t>
      </w:r>
      <w:r>
        <w:rPr>
          <w:rFonts w:eastAsia="MS Mincho"/>
          <w:bCs/>
        </w:rPr>
        <w:t xml:space="preserve"> güncel teminat bedeli</w:t>
      </w:r>
      <w:r w:rsidR="002D4B07">
        <w:rPr>
          <w:rFonts w:eastAsia="MS Mincho"/>
          <w:bCs/>
        </w:rPr>
        <w:t xml:space="preserve"> arasında doğacak</w:t>
      </w:r>
      <w:r>
        <w:rPr>
          <w:rFonts w:eastAsia="MS Mincho"/>
          <w:bCs/>
        </w:rPr>
        <w:t xml:space="preserve"> teminat farkı</w:t>
      </w:r>
      <w:r w:rsidR="002A2514">
        <w:rPr>
          <w:rFonts w:eastAsia="MS Mincho"/>
          <w:bCs/>
        </w:rPr>
        <w:t xml:space="preserve"> bu maddede belirlenen esaslar dahilinde</w:t>
      </w:r>
      <w:r>
        <w:rPr>
          <w:rFonts w:eastAsia="MS Mincho"/>
          <w:bCs/>
        </w:rPr>
        <w:t xml:space="preserve"> alınır.</w:t>
      </w:r>
      <w:r w:rsidR="00974B0D">
        <w:rPr>
          <w:rFonts w:eastAsia="MS Mincho"/>
          <w:bCs/>
        </w:rPr>
        <w:t>”</w:t>
      </w:r>
    </w:p>
    <w:p w:rsidR="00974B0D" w:rsidRDefault="00974B0D" w:rsidP="0017738D">
      <w:pPr>
        <w:spacing w:line="0" w:lineRule="atLeast"/>
        <w:rPr>
          <w:rFonts w:eastAsia="MS Mincho"/>
          <w:b/>
          <w:bCs/>
        </w:rPr>
      </w:pPr>
      <w:r>
        <w:rPr>
          <w:rFonts w:eastAsia="MS Mincho"/>
          <w:bCs/>
        </w:rPr>
        <w:t>“</w:t>
      </w:r>
      <w:r w:rsidRPr="00974B0D">
        <w:rPr>
          <w:rFonts w:eastAsia="MS Mincho"/>
          <w:b/>
          <w:bCs/>
        </w:rPr>
        <w:t>Teminatın iadesi ve irat kaydedilmesi</w:t>
      </w:r>
    </w:p>
    <w:p w:rsidR="00974B0D" w:rsidRDefault="00974B0D" w:rsidP="0017738D">
      <w:pPr>
        <w:spacing w:line="0" w:lineRule="atLeast"/>
        <w:rPr>
          <w:rFonts w:eastAsia="MS Mincho"/>
          <w:bCs/>
        </w:rPr>
      </w:pPr>
      <w:r>
        <w:rPr>
          <w:rFonts w:eastAsia="MS Mincho"/>
          <w:b/>
          <w:bCs/>
        </w:rPr>
        <w:t xml:space="preserve">33) </w:t>
      </w:r>
      <w:r>
        <w:rPr>
          <w:rFonts w:eastAsia="MS Mincho"/>
          <w:bCs/>
        </w:rPr>
        <w:t>(1) İzin belgesi alma aşamasında gerçeğe aykırı beyanda bulun</w:t>
      </w:r>
      <w:r w:rsidR="00BB2769">
        <w:rPr>
          <w:rFonts w:eastAsia="MS Mincho"/>
          <w:bCs/>
        </w:rPr>
        <w:t>ması</w:t>
      </w:r>
      <w:r>
        <w:rPr>
          <w:rFonts w:eastAsia="MS Mincho"/>
          <w:bCs/>
        </w:rPr>
        <w:t xml:space="preserve"> ve/veya </w:t>
      </w:r>
      <w:r w:rsidR="00BB2769">
        <w:rPr>
          <w:rFonts w:eastAsia="MS Mincho"/>
          <w:bCs/>
        </w:rPr>
        <w:t>b</w:t>
      </w:r>
      <w:r>
        <w:rPr>
          <w:rFonts w:eastAsia="MS Mincho"/>
          <w:bCs/>
        </w:rPr>
        <w:t>u Kanun uyarınca uygulanan idari yaptırımlar sonucu</w:t>
      </w:r>
      <w:r w:rsidR="00915359">
        <w:rPr>
          <w:rFonts w:eastAsia="MS Mincho"/>
          <w:bCs/>
        </w:rPr>
        <w:t>nda</w:t>
      </w:r>
      <w:r>
        <w:rPr>
          <w:rFonts w:eastAsia="MS Mincho"/>
          <w:bCs/>
        </w:rPr>
        <w:t xml:space="preserve"> Bakanlıktan aldığı izin belgesi iptal</w:t>
      </w:r>
      <w:r w:rsidR="00BB2769">
        <w:rPr>
          <w:rFonts w:eastAsia="MS Mincho"/>
          <w:bCs/>
        </w:rPr>
        <w:t xml:space="preserve"> </w:t>
      </w:r>
      <w:r>
        <w:rPr>
          <w:rFonts w:eastAsia="MS Mincho"/>
          <w:bCs/>
        </w:rPr>
        <w:t>edilen yapı denetim kuruluşları ve laboratuvarların verdikleri teminatlar irat kaydedilir.</w:t>
      </w:r>
      <w:r w:rsidR="00242EF7">
        <w:rPr>
          <w:rFonts w:eastAsia="MS Mincho"/>
          <w:bCs/>
        </w:rPr>
        <w:t xml:space="preserve"> </w:t>
      </w:r>
    </w:p>
    <w:p w:rsidR="007C0C5E" w:rsidRDefault="007C0C5E" w:rsidP="0017738D">
      <w:pPr>
        <w:spacing w:line="0" w:lineRule="atLeast"/>
        <w:rPr>
          <w:rFonts w:eastAsia="MS Mincho"/>
          <w:bCs/>
        </w:rPr>
      </w:pPr>
      <w:r>
        <w:rPr>
          <w:rFonts w:eastAsia="MS Mincho"/>
          <w:bCs/>
        </w:rPr>
        <w:t xml:space="preserve">(2) </w:t>
      </w:r>
      <w:r w:rsidR="00915359">
        <w:rPr>
          <w:rFonts w:eastAsia="MS Mincho"/>
          <w:bCs/>
        </w:rPr>
        <w:t xml:space="preserve">Birinci fıkrada belirtilen haller dışında </w:t>
      </w:r>
      <w:r>
        <w:rPr>
          <w:rFonts w:eastAsia="MS Mincho"/>
          <w:bCs/>
        </w:rPr>
        <w:t>Bakanlıktan aldığı izin belgesini</w:t>
      </w:r>
      <w:r w:rsidR="00433FB5">
        <w:rPr>
          <w:rFonts w:eastAsia="MS Mincho"/>
          <w:bCs/>
        </w:rPr>
        <w:t>n</w:t>
      </w:r>
      <w:r>
        <w:rPr>
          <w:rFonts w:eastAsia="MS Mincho"/>
          <w:bCs/>
        </w:rPr>
        <w:t xml:space="preserve"> iptalini talep eden yapı denetim</w:t>
      </w:r>
      <w:r w:rsidR="00915359">
        <w:rPr>
          <w:rFonts w:eastAsia="MS Mincho"/>
          <w:bCs/>
        </w:rPr>
        <w:t xml:space="preserve"> kuruluşları</w:t>
      </w:r>
      <w:r>
        <w:rPr>
          <w:rFonts w:eastAsia="MS Mincho"/>
          <w:bCs/>
        </w:rPr>
        <w:t xml:space="preserve"> </w:t>
      </w:r>
      <w:r w:rsidR="00915359">
        <w:rPr>
          <w:rFonts w:eastAsia="MS Mincho"/>
          <w:bCs/>
        </w:rPr>
        <w:t>il</w:t>
      </w:r>
      <w:r>
        <w:rPr>
          <w:rFonts w:eastAsia="MS Mincho"/>
          <w:bCs/>
        </w:rPr>
        <w:t>e laboratuvar</w:t>
      </w:r>
      <w:r w:rsidR="009D54E1">
        <w:rPr>
          <w:rFonts w:eastAsia="MS Mincho"/>
          <w:bCs/>
        </w:rPr>
        <w:t>ların</w:t>
      </w:r>
      <w:r>
        <w:rPr>
          <w:rFonts w:eastAsia="MS Mincho"/>
          <w:bCs/>
        </w:rPr>
        <w:t xml:space="preserve"> teminatları</w:t>
      </w:r>
      <w:r w:rsidR="00915359">
        <w:rPr>
          <w:rFonts w:eastAsia="MS Mincho"/>
          <w:bCs/>
        </w:rPr>
        <w:t>,</w:t>
      </w:r>
      <w:r>
        <w:rPr>
          <w:rFonts w:eastAsia="MS Mincho"/>
          <w:bCs/>
        </w:rPr>
        <w:t xml:space="preserve"> </w:t>
      </w:r>
      <w:r w:rsidR="00242EF7">
        <w:rPr>
          <w:rFonts w:eastAsia="MS Mincho"/>
          <w:bCs/>
        </w:rPr>
        <w:t xml:space="preserve">ilgili Çevre ve Şehircilik İl Müdürlükleri’nin </w:t>
      </w:r>
      <w:r w:rsidR="00EB3F2A">
        <w:rPr>
          <w:rFonts w:eastAsia="MS Mincho"/>
          <w:bCs/>
        </w:rPr>
        <w:t xml:space="preserve">haklarında belge iptaline </w:t>
      </w:r>
      <w:r w:rsidR="00915359">
        <w:rPr>
          <w:rFonts w:eastAsia="MS Mincho"/>
          <w:bCs/>
        </w:rPr>
        <w:t>sebebiyet verecek</w:t>
      </w:r>
      <w:r w:rsidR="00EB3F2A">
        <w:rPr>
          <w:rFonts w:eastAsia="MS Mincho"/>
          <w:bCs/>
        </w:rPr>
        <w:t xml:space="preserve"> </w:t>
      </w:r>
      <w:r w:rsidR="00915359">
        <w:rPr>
          <w:rFonts w:eastAsia="MS Mincho"/>
          <w:bCs/>
        </w:rPr>
        <w:t>herhangi bir inceleme</w:t>
      </w:r>
      <w:r w:rsidR="00EB3F2A">
        <w:rPr>
          <w:rFonts w:eastAsia="MS Mincho"/>
          <w:bCs/>
        </w:rPr>
        <w:t xml:space="preserve"> olmadığına dair </w:t>
      </w:r>
      <w:r w:rsidR="00242EF7">
        <w:rPr>
          <w:rFonts w:eastAsia="MS Mincho"/>
          <w:bCs/>
        </w:rPr>
        <w:t xml:space="preserve">görüşü alınarak </w:t>
      </w:r>
      <w:r>
        <w:rPr>
          <w:rFonts w:eastAsia="MS Mincho"/>
          <w:bCs/>
        </w:rPr>
        <w:t>Merkez Yapı Denetim Komisyonun teklifi üzerine Bakanlıkça iade edilir.</w:t>
      </w:r>
      <w:r w:rsidR="003C6488">
        <w:rPr>
          <w:rFonts w:eastAsia="MS Mincho"/>
          <w:bCs/>
        </w:rPr>
        <w:t xml:space="preserve"> </w:t>
      </w:r>
      <w:r w:rsidR="00E51DBD">
        <w:rPr>
          <w:rFonts w:eastAsia="MS Mincho"/>
          <w:bCs/>
        </w:rPr>
        <w:t>Yapılacak inceleme</w:t>
      </w:r>
      <w:r w:rsidR="003C6488">
        <w:rPr>
          <w:rFonts w:eastAsia="MS Mincho"/>
          <w:bCs/>
        </w:rPr>
        <w:t xml:space="preserve"> sonucu</w:t>
      </w:r>
      <w:r w:rsidR="00E51DBD">
        <w:rPr>
          <w:rFonts w:eastAsia="MS Mincho"/>
          <w:bCs/>
        </w:rPr>
        <w:t>nda</w:t>
      </w:r>
      <w:r w:rsidR="003C6488">
        <w:rPr>
          <w:rFonts w:eastAsia="MS Mincho"/>
          <w:bCs/>
        </w:rPr>
        <w:t xml:space="preserve"> belge iptaline karar veril</w:t>
      </w:r>
      <w:r w:rsidR="00E51DBD">
        <w:rPr>
          <w:rFonts w:eastAsia="MS Mincho"/>
          <w:bCs/>
        </w:rPr>
        <w:t>mesi halinde</w:t>
      </w:r>
      <w:r w:rsidR="003C6488">
        <w:rPr>
          <w:rFonts w:eastAsia="MS Mincho"/>
          <w:bCs/>
        </w:rPr>
        <w:t xml:space="preserve"> teminatı irat kaydedilir.</w:t>
      </w:r>
      <w:r w:rsidR="00787289">
        <w:rPr>
          <w:rFonts w:eastAsia="MS Mincho"/>
          <w:bCs/>
        </w:rPr>
        <w:t>”</w:t>
      </w:r>
    </w:p>
    <w:p w:rsidR="00FC4737" w:rsidRPr="00974B0D" w:rsidRDefault="00FC4737" w:rsidP="00BF4A99">
      <w:pPr>
        <w:spacing w:line="0" w:lineRule="atLeast"/>
        <w:ind w:firstLine="0"/>
      </w:pPr>
    </w:p>
    <w:p w:rsidR="00326CE4" w:rsidRDefault="00326CE4" w:rsidP="00326CE4">
      <w:pPr>
        <w:rPr>
          <w:color w:val="000000" w:themeColor="text1"/>
          <w:szCs w:val="24"/>
        </w:rPr>
      </w:pPr>
      <w:r w:rsidRPr="0071736B">
        <w:rPr>
          <w:b/>
          <w:color w:val="000000" w:themeColor="text1"/>
          <w:szCs w:val="24"/>
        </w:rPr>
        <w:t xml:space="preserve">MADDE </w:t>
      </w:r>
      <w:r w:rsidR="00BF4A99">
        <w:rPr>
          <w:b/>
          <w:color w:val="000000" w:themeColor="text1"/>
          <w:szCs w:val="24"/>
        </w:rPr>
        <w:t>2</w:t>
      </w:r>
      <w:r w:rsidR="00B02E3F">
        <w:rPr>
          <w:b/>
          <w:color w:val="000000" w:themeColor="text1"/>
          <w:szCs w:val="24"/>
        </w:rPr>
        <w:t>2</w:t>
      </w:r>
      <w:r w:rsidRPr="0071736B">
        <w:rPr>
          <w:b/>
          <w:color w:val="000000" w:themeColor="text1"/>
          <w:szCs w:val="24"/>
        </w:rPr>
        <w:t xml:space="preserve"> </w:t>
      </w:r>
      <w:r w:rsidRPr="0071736B">
        <w:rPr>
          <w:color w:val="000000" w:themeColor="text1"/>
          <w:szCs w:val="24"/>
        </w:rPr>
        <w:t xml:space="preserve">- Aynı </w:t>
      </w:r>
      <w:r>
        <w:rPr>
          <w:color w:val="000000" w:themeColor="text1"/>
          <w:szCs w:val="24"/>
        </w:rPr>
        <w:t>Yönetmeliğ</w:t>
      </w:r>
      <w:r w:rsidR="00BF4A99">
        <w:rPr>
          <w:color w:val="000000" w:themeColor="text1"/>
          <w:szCs w:val="24"/>
        </w:rPr>
        <w:t>in Geçici 10 ve Geçici</w:t>
      </w:r>
      <w:r w:rsidR="000D12BD">
        <w:rPr>
          <w:color w:val="000000" w:themeColor="text1"/>
          <w:szCs w:val="24"/>
        </w:rPr>
        <w:t xml:space="preserve"> 11 nci maddeleri başlığıyla birlikte</w:t>
      </w:r>
      <w:r>
        <w:rPr>
          <w:color w:val="000000" w:themeColor="text1"/>
          <w:szCs w:val="24"/>
        </w:rPr>
        <w:t xml:space="preserve"> aşağıdaki </w:t>
      </w:r>
      <w:r w:rsidR="000D12BD">
        <w:rPr>
          <w:color w:val="000000" w:themeColor="text1"/>
          <w:szCs w:val="24"/>
        </w:rPr>
        <w:t>şekilde değiştirilmiştir</w:t>
      </w:r>
      <w:r>
        <w:rPr>
          <w:color w:val="000000" w:themeColor="text1"/>
          <w:szCs w:val="24"/>
        </w:rPr>
        <w:t>.</w:t>
      </w:r>
    </w:p>
    <w:p w:rsidR="009D54E1" w:rsidRPr="009D54E1" w:rsidRDefault="009D54E1" w:rsidP="00326CE4">
      <w:pPr>
        <w:rPr>
          <w:b/>
          <w:color w:val="000000" w:themeColor="text1"/>
          <w:szCs w:val="24"/>
        </w:rPr>
      </w:pPr>
      <w:r>
        <w:rPr>
          <w:b/>
          <w:color w:val="000000" w:themeColor="text1"/>
          <w:szCs w:val="24"/>
        </w:rPr>
        <w:t>“</w:t>
      </w:r>
      <w:r w:rsidRPr="009D54E1">
        <w:rPr>
          <w:b/>
          <w:color w:val="000000" w:themeColor="text1"/>
          <w:szCs w:val="24"/>
        </w:rPr>
        <w:t>Faaliyeti devam eden yapı denetim kuruluşları ve laboratuvarların teminatı.</w:t>
      </w:r>
    </w:p>
    <w:p w:rsidR="009D54E1" w:rsidRDefault="009D54E1" w:rsidP="00326CE4">
      <w:pPr>
        <w:rPr>
          <w:bCs/>
          <w:szCs w:val="24"/>
        </w:rPr>
      </w:pPr>
      <w:r>
        <w:rPr>
          <w:color w:val="000000" w:themeColor="text1"/>
          <w:szCs w:val="24"/>
        </w:rPr>
        <w:t>GEÇİCİ MADDE 1</w:t>
      </w:r>
      <w:r w:rsidR="000D12BD">
        <w:rPr>
          <w:color w:val="000000" w:themeColor="text1"/>
          <w:szCs w:val="24"/>
        </w:rPr>
        <w:t>0</w:t>
      </w:r>
      <w:r>
        <w:rPr>
          <w:color w:val="000000" w:themeColor="text1"/>
          <w:szCs w:val="24"/>
        </w:rPr>
        <w:t>)</w:t>
      </w:r>
      <w:r w:rsidRPr="009D54E1">
        <w:rPr>
          <w:bCs/>
          <w:szCs w:val="24"/>
        </w:rPr>
        <w:t xml:space="preserve"> </w:t>
      </w:r>
      <w:r w:rsidR="00E51DBD">
        <w:rPr>
          <w:bCs/>
          <w:szCs w:val="24"/>
        </w:rPr>
        <w:t xml:space="preserve">Bu </w:t>
      </w:r>
      <w:r>
        <w:rPr>
          <w:bCs/>
          <w:szCs w:val="24"/>
        </w:rPr>
        <w:t xml:space="preserve">Yönetmeliğin </w:t>
      </w:r>
      <w:r w:rsidRPr="00B83D30">
        <w:rPr>
          <w:bCs/>
          <w:szCs w:val="24"/>
        </w:rPr>
        <w:t>yürürlüğe girdiği tarihten önce izin belgesi ala</w:t>
      </w:r>
      <w:r>
        <w:rPr>
          <w:bCs/>
          <w:szCs w:val="24"/>
        </w:rPr>
        <w:t>n</w:t>
      </w:r>
      <w:r w:rsidRPr="00B83D30">
        <w:rPr>
          <w:bCs/>
          <w:szCs w:val="24"/>
        </w:rPr>
        <w:t xml:space="preserve"> </w:t>
      </w:r>
      <w:r>
        <w:rPr>
          <w:bCs/>
          <w:szCs w:val="24"/>
        </w:rPr>
        <w:t xml:space="preserve">yapı denetim kuruluşları ve </w:t>
      </w:r>
      <w:r w:rsidR="00E51DBD">
        <w:rPr>
          <w:bCs/>
          <w:szCs w:val="24"/>
        </w:rPr>
        <w:t>laboratuarların, yönetmeliğin yürürlüğe girdiği tarih itibari ile</w:t>
      </w:r>
      <w:r>
        <w:rPr>
          <w:bCs/>
          <w:szCs w:val="24"/>
        </w:rPr>
        <w:t xml:space="preserve"> üç ay </w:t>
      </w:r>
      <w:r w:rsidRPr="00B83D30">
        <w:rPr>
          <w:bCs/>
          <w:szCs w:val="24"/>
        </w:rPr>
        <w:t xml:space="preserve">içinde </w:t>
      </w:r>
      <w:r w:rsidR="00E51DBD">
        <w:rPr>
          <w:bCs/>
          <w:szCs w:val="24"/>
        </w:rPr>
        <w:t>32 nci madde</w:t>
      </w:r>
      <w:r>
        <w:rPr>
          <w:bCs/>
          <w:szCs w:val="24"/>
        </w:rPr>
        <w:t xml:space="preserve">de belirtilen esaslar dahilinde </w:t>
      </w:r>
      <w:r w:rsidR="00E51DBD" w:rsidRPr="00B83D30">
        <w:rPr>
          <w:bCs/>
          <w:szCs w:val="24"/>
        </w:rPr>
        <w:t>Bakanlı</w:t>
      </w:r>
      <w:r w:rsidR="00E51DBD">
        <w:rPr>
          <w:bCs/>
          <w:szCs w:val="24"/>
        </w:rPr>
        <w:t>ğ</w:t>
      </w:r>
      <w:r w:rsidR="00E51DBD" w:rsidRPr="00B83D30">
        <w:rPr>
          <w:bCs/>
          <w:szCs w:val="24"/>
        </w:rPr>
        <w:t xml:space="preserve">a </w:t>
      </w:r>
      <w:r w:rsidRPr="00B83D30">
        <w:rPr>
          <w:bCs/>
          <w:szCs w:val="24"/>
        </w:rPr>
        <w:t>teminat ver</w:t>
      </w:r>
      <w:r w:rsidR="00E51DBD">
        <w:rPr>
          <w:bCs/>
          <w:szCs w:val="24"/>
        </w:rPr>
        <w:t>mesi zorunludur. A</w:t>
      </w:r>
      <w:r w:rsidRPr="00B83D30">
        <w:rPr>
          <w:bCs/>
          <w:szCs w:val="24"/>
        </w:rPr>
        <w:t xml:space="preserve">ksi taktirde </w:t>
      </w:r>
      <w:r>
        <w:rPr>
          <w:bCs/>
          <w:szCs w:val="24"/>
        </w:rPr>
        <w:t>faaliyetine izin verilmez</w:t>
      </w:r>
      <w:r w:rsidRPr="00B83D30">
        <w:rPr>
          <w:bCs/>
          <w:szCs w:val="24"/>
        </w:rPr>
        <w:t>.</w:t>
      </w:r>
      <w:r w:rsidR="009227B1">
        <w:rPr>
          <w:bCs/>
          <w:szCs w:val="24"/>
        </w:rPr>
        <w:t>”</w:t>
      </w:r>
    </w:p>
    <w:p w:rsidR="002C684A" w:rsidRPr="002C684A" w:rsidRDefault="002C684A" w:rsidP="00326CE4">
      <w:pPr>
        <w:rPr>
          <w:b/>
          <w:bCs/>
          <w:szCs w:val="24"/>
        </w:rPr>
      </w:pPr>
      <w:r>
        <w:rPr>
          <w:b/>
          <w:bCs/>
          <w:szCs w:val="24"/>
        </w:rPr>
        <w:t>“</w:t>
      </w:r>
      <w:r w:rsidRPr="002C684A">
        <w:rPr>
          <w:b/>
          <w:bCs/>
          <w:szCs w:val="24"/>
        </w:rPr>
        <w:t>Önceki idari yaptırımlar</w:t>
      </w:r>
    </w:p>
    <w:p w:rsidR="009227B1" w:rsidRDefault="009227B1" w:rsidP="009227B1">
      <w:pPr>
        <w:ind w:firstLine="708"/>
        <w:rPr>
          <w:bCs/>
          <w:szCs w:val="24"/>
        </w:rPr>
      </w:pPr>
      <w:r w:rsidRPr="00B83D30">
        <w:rPr>
          <w:bCs/>
          <w:szCs w:val="24"/>
        </w:rPr>
        <w:t xml:space="preserve">GEÇİCİ MADDE </w:t>
      </w:r>
      <w:r>
        <w:rPr>
          <w:bCs/>
          <w:szCs w:val="24"/>
        </w:rPr>
        <w:t>1</w:t>
      </w:r>
      <w:r w:rsidR="000D12BD">
        <w:rPr>
          <w:bCs/>
          <w:szCs w:val="24"/>
        </w:rPr>
        <w:t>1</w:t>
      </w:r>
      <w:r>
        <w:rPr>
          <w:bCs/>
          <w:szCs w:val="24"/>
        </w:rPr>
        <w:t>)</w:t>
      </w:r>
      <w:r w:rsidRPr="00B83D30">
        <w:rPr>
          <w:bCs/>
          <w:szCs w:val="24"/>
        </w:rPr>
        <w:t xml:space="preserve"> </w:t>
      </w:r>
      <w:r w:rsidR="002C684A" w:rsidRPr="00F034E9">
        <w:rPr>
          <w:bCs/>
          <w:color w:val="000000" w:themeColor="text1"/>
          <w:szCs w:val="24"/>
        </w:rPr>
        <w:t>Kanunun</w:t>
      </w:r>
      <w:r w:rsidR="0041259D" w:rsidRPr="00F034E9">
        <w:rPr>
          <w:bCs/>
          <w:color w:val="000000" w:themeColor="text1"/>
          <w:szCs w:val="24"/>
        </w:rPr>
        <w:t xml:space="preserve">, 4/4/2015 tarih ve 6645 sayılı </w:t>
      </w:r>
      <w:r w:rsidR="002C684A" w:rsidRPr="00F034E9">
        <w:rPr>
          <w:bCs/>
          <w:color w:val="000000" w:themeColor="text1"/>
          <w:szCs w:val="24"/>
        </w:rPr>
        <w:t>Kanun ile değiş</w:t>
      </w:r>
      <w:r w:rsidR="00160848" w:rsidRPr="00F034E9">
        <w:rPr>
          <w:bCs/>
          <w:color w:val="000000" w:themeColor="text1"/>
          <w:szCs w:val="24"/>
        </w:rPr>
        <w:t>en hükümleri</w:t>
      </w:r>
      <w:r w:rsidR="002C684A" w:rsidRPr="00F034E9">
        <w:rPr>
          <w:bCs/>
          <w:color w:val="000000" w:themeColor="text1"/>
          <w:szCs w:val="24"/>
        </w:rPr>
        <w:t xml:space="preserve"> yürürlüğe girmeden</w:t>
      </w:r>
      <w:r w:rsidR="0041259D" w:rsidRPr="00F034E9">
        <w:rPr>
          <w:bCs/>
          <w:color w:val="000000" w:themeColor="text1"/>
          <w:szCs w:val="24"/>
        </w:rPr>
        <w:t xml:space="preserve"> önce</w:t>
      </w:r>
      <w:r w:rsidR="00C75C3A" w:rsidRPr="00F034E9">
        <w:rPr>
          <w:bCs/>
          <w:color w:val="000000" w:themeColor="text1"/>
          <w:szCs w:val="24"/>
        </w:rPr>
        <w:t>ki hükümleri dahilinde</w:t>
      </w:r>
      <w:r w:rsidR="00213FAE" w:rsidRPr="00F034E9">
        <w:rPr>
          <w:bCs/>
          <w:color w:val="000000" w:themeColor="text1"/>
          <w:szCs w:val="24"/>
        </w:rPr>
        <w:t xml:space="preserve"> </w:t>
      </w:r>
      <w:r w:rsidR="00C75C3A" w:rsidRPr="00F034E9">
        <w:rPr>
          <w:bCs/>
          <w:color w:val="000000" w:themeColor="text1"/>
          <w:szCs w:val="24"/>
        </w:rPr>
        <w:t xml:space="preserve">yapı denetim kuruluşları hakkında </w:t>
      </w:r>
      <w:r w:rsidRPr="00F034E9">
        <w:rPr>
          <w:bCs/>
          <w:color w:val="000000" w:themeColor="text1"/>
          <w:szCs w:val="24"/>
        </w:rPr>
        <w:t xml:space="preserve">Resmi Gazetede ilan edilmemiş olan </w:t>
      </w:r>
      <w:r w:rsidR="00B01C55" w:rsidRPr="00F034E9">
        <w:rPr>
          <w:bCs/>
          <w:color w:val="000000" w:themeColor="text1"/>
          <w:szCs w:val="24"/>
        </w:rPr>
        <w:t xml:space="preserve">idari yaptırıma </w:t>
      </w:r>
      <w:r w:rsidR="0041259D" w:rsidRPr="00F034E9">
        <w:rPr>
          <w:bCs/>
          <w:color w:val="000000" w:themeColor="text1"/>
          <w:szCs w:val="24"/>
        </w:rPr>
        <w:t>esas işlemler</w:t>
      </w:r>
      <w:r w:rsidRPr="00F034E9">
        <w:rPr>
          <w:bCs/>
          <w:color w:val="000000" w:themeColor="text1"/>
          <w:szCs w:val="24"/>
        </w:rPr>
        <w:t xml:space="preserve">, Kanunun </w:t>
      </w:r>
      <w:r w:rsidR="00E94859" w:rsidRPr="00F034E9">
        <w:rPr>
          <w:bCs/>
          <w:color w:val="000000" w:themeColor="text1"/>
          <w:szCs w:val="24"/>
        </w:rPr>
        <w:t xml:space="preserve">yürürlükteki </w:t>
      </w:r>
      <w:r w:rsidR="00160848" w:rsidRPr="00F034E9">
        <w:rPr>
          <w:bCs/>
          <w:color w:val="000000" w:themeColor="text1"/>
          <w:szCs w:val="24"/>
        </w:rPr>
        <w:t>8 inci maddesine</w:t>
      </w:r>
      <w:r w:rsidRPr="00F034E9">
        <w:rPr>
          <w:bCs/>
          <w:color w:val="000000" w:themeColor="text1"/>
          <w:szCs w:val="24"/>
        </w:rPr>
        <w:t xml:space="preserve"> göre </w:t>
      </w:r>
      <w:r w:rsidR="0041259D" w:rsidRPr="00F034E9">
        <w:rPr>
          <w:bCs/>
          <w:color w:val="000000" w:themeColor="text1"/>
          <w:szCs w:val="24"/>
        </w:rPr>
        <w:t>sonuçlandırılır.</w:t>
      </w:r>
      <w:r w:rsidR="00C75C3A" w:rsidRPr="00F034E9">
        <w:rPr>
          <w:bCs/>
          <w:color w:val="000000" w:themeColor="text1"/>
          <w:szCs w:val="24"/>
        </w:rPr>
        <w:t xml:space="preserve"> </w:t>
      </w:r>
    </w:p>
    <w:p w:rsidR="00C457A3" w:rsidRPr="00B83D30" w:rsidRDefault="002C684A" w:rsidP="00C457A3">
      <w:pPr>
        <w:ind w:firstLine="708"/>
        <w:rPr>
          <w:bCs/>
          <w:szCs w:val="24"/>
        </w:rPr>
      </w:pPr>
      <w:r>
        <w:rPr>
          <w:bCs/>
          <w:szCs w:val="24"/>
        </w:rPr>
        <w:t>Kanunun</w:t>
      </w:r>
      <w:r w:rsidR="0041259D">
        <w:rPr>
          <w:bCs/>
          <w:szCs w:val="24"/>
        </w:rPr>
        <w:t>, 4/4/2015 tarih ve 6645 sayılı</w:t>
      </w:r>
      <w:r>
        <w:rPr>
          <w:bCs/>
          <w:szCs w:val="24"/>
        </w:rPr>
        <w:t xml:space="preserve"> Kanun ile değişik </w:t>
      </w:r>
      <w:r w:rsidR="00160848">
        <w:rPr>
          <w:bCs/>
          <w:szCs w:val="24"/>
        </w:rPr>
        <w:t>hükümleri</w:t>
      </w:r>
      <w:r>
        <w:rPr>
          <w:bCs/>
          <w:szCs w:val="24"/>
        </w:rPr>
        <w:t xml:space="preserve"> yürürlüğe girmeden</w:t>
      </w:r>
      <w:r w:rsidR="00C457A3">
        <w:rPr>
          <w:bCs/>
          <w:szCs w:val="24"/>
        </w:rPr>
        <w:t xml:space="preserve"> önce</w:t>
      </w:r>
      <w:r w:rsidR="009227B1" w:rsidRPr="00B83D30">
        <w:rPr>
          <w:bCs/>
          <w:szCs w:val="24"/>
        </w:rPr>
        <w:t xml:space="preserve"> </w:t>
      </w:r>
      <w:r w:rsidR="00C457A3" w:rsidRPr="00B83D30">
        <w:rPr>
          <w:bCs/>
          <w:szCs w:val="24"/>
        </w:rPr>
        <w:t>Resmi Gazetede ilan</w:t>
      </w:r>
      <w:r w:rsidR="00C457A3">
        <w:rPr>
          <w:bCs/>
          <w:szCs w:val="24"/>
        </w:rPr>
        <w:t xml:space="preserve"> edilerek uygulanmasına başlanılan geçici faaliyet durdurma cezaları; </w:t>
      </w:r>
      <w:r w:rsidR="00C457A3" w:rsidRPr="00B83D30">
        <w:rPr>
          <w:bCs/>
          <w:szCs w:val="24"/>
        </w:rPr>
        <w:t>yapı denetim kuruluşunun talebi üzerine</w:t>
      </w:r>
      <w:r w:rsidR="00160848">
        <w:rPr>
          <w:bCs/>
          <w:szCs w:val="24"/>
        </w:rPr>
        <w:t>,</w:t>
      </w:r>
      <w:r w:rsidR="00C457A3" w:rsidRPr="00B83D30">
        <w:rPr>
          <w:bCs/>
          <w:szCs w:val="24"/>
        </w:rPr>
        <w:t xml:space="preserve"> </w:t>
      </w:r>
      <w:r w:rsidR="00160848">
        <w:rPr>
          <w:bCs/>
          <w:szCs w:val="24"/>
        </w:rPr>
        <w:t xml:space="preserve">idari yaptırıma </w:t>
      </w:r>
      <w:r w:rsidR="00C457A3" w:rsidRPr="00B83D30">
        <w:rPr>
          <w:bCs/>
          <w:szCs w:val="24"/>
        </w:rPr>
        <w:t>esas alınan fiil ve haller</w:t>
      </w:r>
      <w:r w:rsidR="00C457A3">
        <w:rPr>
          <w:bCs/>
          <w:szCs w:val="24"/>
        </w:rPr>
        <w:t>in</w:t>
      </w:r>
      <w:r w:rsidR="00C457A3" w:rsidRPr="00B83D30">
        <w:rPr>
          <w:bCs/>
          <w:szCs w:val="24"/>
        </w:rPr>
        <w:t xml:space="preserve"> yeni iş almaktan men cezası gerektirmediği</w:t>
      </w:r>
      <w:r w:rsidR="00C457A3">
        <w:rPr>
          <w:bCs/>
          <w:szCs w:val="24"/>
        </w:rPr>
        <w:t>nin belirlenmesi koşuluyla</w:t>
      </w:r>
      <w:r w:rsidR="00C457A3" w:rsidRPr="00B83D30">
        <w:rPr>
          <w:bCs/>
          <w:szCs w:val="24"/>
        </w:rPr>
        <w:t xml:space="preserve">, söz konusu fiil ve haller değerlendirilerek </w:t>
      </w:r>
      <w:r w:rsidR="00160848" w:rsidRPr="00B83D30">
        <w:rPr>
          <w:bCs/>
          <w:szCs w:val="24"/>
        </w:rPr>
        <w:t xml:space="preserve">Kanunun </w:t>
      </w:r>
      <w:r w:rsidR="00160848">
        <w:rPr>
          <w:bCs/>
          <w:szCs w:val="24"/>
        </w:rPr>
        <w:t>yürürlükteki 8 inci maddesine</w:t>
      </w:r>
      <w:r w:rsidR="00160848" w:rsidRPr="00B83D30">
        <w:rPr>
          <w:bCs/>
          <w:szCs w:val="24"/>
        </w:rPr>
        <w:t xml:space="preserve"> göre </w:t>
      </w:r>
      <w:r w:rsidR="00C457A3" w:rsidRPr="00B83D30">
        <w:rPr>
          <w:bCs/>
          <w:szCs w:val="24"/>
        </w:rPr>
        <w:t xml:space="preserve">işlem </w:t>
      </w:r>
      <w:r w:rsidR="00C457A3">
        <w:rPr>
          <w:bCs/>
          <w:szCs w:val="24"/>
        </w:rPr>
        <w:t>tesis edil</w:t>
      </w:r>
      <w:r w:rsidR="00160848">
        <w:rPr>
          <w:bCs/>
          <w:szCs w:val="24"/>
        </w:rPr>
        <w:t>ir.</w:t>
      </w:r>
    </w:p>
    <w:p w:rsidR="00F96998" w:rsidRPr="00FC4737" w:rsidRDefault="002C684A" w:rsidP="009227B1">
      <w:pPr>
        <w:ind w:firstLine="708"/>
        <w:rPr>
          <w:bCs/>
          <w:szCs w:val="24"/>
        </w:rPr>
      </w:pPr>
      <w:r w:rsidRPr="00FC4737">
        <w:rPr>
          <w:bCs/>
          <w:szCs w:val="24"/>
        </w:rPr>
        <w:t>Kanunun</w:t>
      </w:r>
      <w:r w:rsidR="00C457A3" w:rsidRPr="00FC4737">
        <w:rPr>
          <w:bCs/>
          <w:szCs w:val="24"/>
        </w:rPr>
        <w:t>, 4/4/2015 tarih ve 6645 sayılı</w:t>
      </w:r>
      <w:r w:rsidRPr="00FC4737">
        <w:rPr>
          <w:bCs/>
          <w:szCs w:val="24"/>
        </w:rPr>
        <w:t xml:space="preserve"> Kanun ile </w:t>
      </w:r>
      <w:r w:rsidR="00160848" w:rsidRPr="00FC4737">
        <w:rPr>
          <w:bCs/>
          <w:szCs w:val="24"/>
        </w:rPr>
        <w:t xml:space="preserve">değişik hükümleri </w:t>
      </w:r>
      <w:r w:rsidRPr="00FC4737">
        <w:rPr>
          <w:bCs/>
          <w:szCs w:val="24"/>
        </w:rPr>
        <w:t>yürürlüğe girmeden</w:t>
      </w:r>
      <w:r w:rsidR="009227B1" w:rsidRPr="00FC4737">
        <w:rPr>
          <w:bCs/>
          <w:szCs w:val="24"/>
        </w:rPr>
        <w:t xml:space="preserve"> </w:t>
      </w:r>
      <w:r w:rsidR="00213FAE" w:rsidRPr="00FC4737">
        <w:rPr>
          <w:bCs/>
          <w:szCs w:val="24"/>
        </w:rPr>
        <w:t>önce</w:t>
      </w:r>
      <w:r w:rsidR="00902628" w:rsidRPr="00FC4737">
        <w:rPr>
          <w:bCs/>
          <w:szCs w:val="24"/>
        </w:rPr>
        <w:t xml:space="preserve"> herhangi bir nedenle</w:t>
      </w:r>
      <w:r w:rsidR="00213FAE" w:rsidRPr="00FC4737">
        <w:rPr>
          <w:bCs/>
          <w:szCs w:val="24"/>
        </w:rPr>
        <w:t xml:space="preserve"> </w:t>
      </w:r>
      <w:r w:rsidR="00EB3C64" w:rsidRPr="00FC4737">
        <w:rPr>
          <w:bCs/>
          <w:szCs w:val="24"/>
        </w:rPr>
        <w:t>izin belgesi iptal edil</w:t>
      </w:r>
      <w:r w:rsidR="00902628" w:rsidRPr="00FC4737">
        <w:rPr>
          <w:bCs/>
          <w:szCs w:val="24"/>
        </w:rPr>
        <w:t xml:space="preserve">enler hariç olmak üzere </w:t>
      </w:r>
      <w:r w:rsidR="00213FAE" w:rsidRPr="00FC4737">
        <w:rPr>
          <w:bCs/>
          <w:szCs w:val="24"/>
        </w:rPr>
        <w:t xml:space="preserve">yapı denetim kuruluşları hakkında </w:t>
      </w:r>
      <w:r w:rsidR="009227B1" w:rsidRPr="00FC4737">
        <w:rPr>
          <w:bCs/>
          <w:szCs w:val="24"/>
        </w:rPr>
        <w:t>verilmiş olan ge</w:t>
      </w:r>
      <w:r w:rsidR="00160848" w:rsidRPr="00FC4737">
        <w:rPr>
          <w:bCs/>
          <w:szCs w:val="24"/>
        </w:rPr>
        <w:t>çici faaliyet durdurma cezaları;</w:t>
      </w:r>
      <w:r w:rsidR="009227B1" w:rsidRPr="00FC4737">
        <w:rPr>
          <w:bCs/>
          <w:szCs w:val="24"/>
        </w:rPr>
        <w:t xml:space="preserve"> cezalandırmaya </w:t>
      </w:r>
      <w:r w:rsidR="009227B1" w:rsidRPr="00FC4737">
        <w:rPr>
          <w:bCs/>
          <w:szCs w:val="24"/>
        </w:rPr>
        <w:lastRenderedPageBreak/>
        <w:t xml:space="preserve">esas alınan fiil ve haller 4708 sayılı Kanunun bu Kanun ile değişik hükümlerine göre yeni iş almaktan men cezasını gerektirmiyor ise, </w:t>
      </w:r>
      <w:r w:rsidR="00213FAE" w:rsidRPr="00FC4737">
        <w:rPr>
          <w:bCs/>
          <w:szCs w:val="24"/>
        </w:rPr>
        <w:t xml:space="preserve">belgenin iptal edilerek </w:t>
      </w:r>
      <w:r w:rsidR="009227B1" w:rsidRPr="00FC4737">
        <w:rPr>
          <w:bCs/>
          <w:szCs w:val="24"/>
        </w:rPr>
        <w:t>faaliyete son verme cezası verilmesi bakımından tekerrüre esas alınmaz.</w:t>
      </w:r>
    </w:p>
    <w:p w:rsidR="009227B1" w:rsidRPr="00F96998" w:rsidRDefault="00F96998" w:rsidP="009227B1">
      <w:pPr>
        <w:ind w:firstLine="708"/>
        <w:rPr>
          <w:bCs/>
          <w:szCs w:val="24"/>
        </w:rPr>
      </w:pPr>
      <w:r>
        <w:rPr>
          <w:bCs/>
          <w:szCs w:val="24"/>
        </w:rPr>
        <w:t>Kanunun, 4/4/2015 tarihli ve 6645 sayılı Kanun ile değişen hükümlerinin yürürlüğe girmeden önce</w:t>
      </w:r>
      <w:r w:rsidRPr="00B83D30">
        <w:rPr>
          <w:bCs/>
          <w:szCs w:val="24"/>
        </w:rPr>
        <w:t xml:space="preserve"> </w:t>
      </w:r>
      <w:r>
        <w:rPr>
          <w:bCs/>
          <w:szCs w:val="24"/>
        </w:rPr>
        <w:t>laboratuarlar hakkında henüz</w:t>
      </w:r>
      <w:r w:rsidRPr="00B83D30">
        <w:rPr>
          <w:bCs/>
          <w:szCs w:val="24"/>
        </w:rPr>
        <w:t xml:space="preserve"> </w:t>
      </w:r>
      <w:r>
        <w:rPr>
          <w:bCs/>
          <w:szCs w:val="24"/>
        </w:rPr>
        <w:t>neticelendirilmemiş olan idari yaptırımlara esas işlemler</w:t>
      </w:r>
      <w:r w:rsidRPr="00B83D30">
        <w:rPr>
          <w:bCs/>
          <w:szCs w:val="24"/>
        </w:rPr>
        <w:t xml:space="preserve">, Kanunun </w:t>
      </w:r>
      <w:r>
        <w:rPr>
          <w:bCs/>
          <w:szCs w:val="24"/>
        </w:rPr>
        <w:t>yürürlükteki 8 inci maddesine</w:t>
      </w:r>
      <w:r w:rsidRPr="00B83D30">
        <w:rPr>
          <w:bCs/>
          <w:szCs w:val="24"/>
        </w:rPr>
        <w:t xml:space="preserve"> göre </w:t>
      </w:r>
      <w:r>
        <w:rPr>
          <w:bCs/>
          <w:szCs w:val="24"/>
        </w:rPr>
        <w:t xml:space="preserve">sonuçlandırılır. </w:t>
      </w:r>
      <w:r w:rsidR="002C684A" w:rsidRPr="00F96998">
        <w:rPr>
          <w:bCs/>
          <w:szCs w:val="24"/>
        </w:rPr>
        <w:t>”</w:t>
      </w:r>
    </w:p>
    <w:p w:rsidR="00B94046" w:rsidRDefault="00B94046" w:rsidP="00B94046">
      <w:pPr>
        <w:rPr>
          <w:szCs w:val="24"/>
        </w:rPr>
      </w:pPr>
      <w:r w:rsidRPr="0071736B">
        <w:rPr>
          <w:b/>
          <w:color w:val="000000" w:themeColor="text1"/>
          <w:szCs w:val="24"/>
        </w:rPr>
        <w:t xml:space="preserve">MADDE </w:t>
      </w:r>
      <w:r w:rsidR="00A505DF">
        <w:rPr>
          <w:b/>
          <w:color w:val="000000" w:themeColor="text1"/>
          <w:szCs w:val="24"/>
        </w:rPr>
        <w:t>2</w:t>
      </w:r>
      <w:r w:rsidR="00B02E3F">
        <w:rPr>
          <w:b/>
          <w:color w:val="000000" w:themeColor="text1"/>
          <w:szCs w:val="24"/>
        </w:rPr>
        <w:t>3</w:t>
      </w:r>
      <w:r w:rsidRPr="0071736B">
        <w:rPr>
          <w:b/>
          <w:color w:val="000000" w:themeColor="text1"/>
          <w:szCs w:val="24"/>
        </w:rPr>
        <w:t xml:space="preserve"> </w:t>
      </w:r>
      <w:r w:rsidRPr="0071736B">
        <w:rPr>
          <w:color w:val="000000" w:themeColor="text1"/>
          <w:szCs w:val="24"/>
        </w:rPr>
        <w:t xml:space="preserve">- Aynı </w:t>
      </w:r>
      <w:r>
        <w:rPr>
          <w:color w:val="000000" w:themeColor="text1"/>
          <w:szCs w:val="24"/>
        </w:rPr>
        <w:t xml:space="preserve">Yönetmeliğin </w:t>
      </w:r>
      <w:r w:rsidRPr="00B94046">
        <w:rPr>
          <w:szCs w:val="24"/>
        </w:rPr>
        <w:t>Ek-</w:t>
      </w:r>
      <w:r>
        <w:rPr>
          <w:szCs w:val="24"/>
        </w:rPr>
        <w:t>1</w:t>
      </w:r>
      <w:r w:rsidR="000B50B0">
        <w:rPr>
          <w:szCs w:val="24"/>
        </w:rPr>
        <w:t>,</w:t>
      </w:r>
      <w:r w:rsidR="00DE1E48">
        <w:rPr>
          <w:szCs w:val="24"/>
        </w:rPr>
        <w:t xml:space="preserve"> Ek-2</w:t>
      </w:r>
      <w:r w:rsidR="000B50B0">
        <w:rPr>
          <w:szCs w:val="24"/>
        </w:rPr>
        <w:t xml:space="preserve"> </w:t>
      </w:r>
      <w:r>
        <w:rPr>
          <w:szCs w:val="24"/>
        </w:rPr>
        <w:t>ve Ek-6’sı</w:t>
      </w:r>
      <w:r w:rsidRPr="00B94046">
        <w:rPr>
          <w:szCs w:val="24"/>
        </w:rPr>
        <w:t xml:space="preserve"> ekteki şekilde değiştirilmiş ve</w:t>
      </w:r>
      <w:r>
        <w:rPr>
          <w:szCs w:val="24"/>
        </w:rPr>
        <w:t xml:space="preserve"> Yönetmeliğe Ek-30 eklenmiştir.</w:t>
      </w:r>
    </w:p>
    <w:p w:rsidR="00B92BBB" w:rsidRDefault="00574E11" w:rsidP="00B92BBB">
      <w:pPr>
        <w:pStyle w:val="3-NormalYaz"/>
        <w:spacing w:line="240" w:lineRule="exact"/>
        <w:ind w:firstLine="566"/>
        <w:rPr>
          <w:rFonts w:hAnsi="Times New Roman"/>
          <w:sz w:val="24"/>
          <w:szCs w:val="24"/>
        </w:rPr>
      </w:pPr>
      <w:r>
        <w:rPr>
          <w:rFonts w:hAnsi="Times New Roman"/>
          <w:b/>
          <w:sz w:val="24"/>
          <w:szCs w:val="24"/>
        </w:rPr>
        <w:t xml:space="preserve">  </w:t>
      </w:r>
      <w:r w:rsidR="00B92BBB" w:rsidRPr="00574E11">
        <w:rPr>
          <w:rFonts w:hAnsi="Times New Roman"/>
          <w:b/>
          <w:sz w:val="24"/>
          <w:szCs w:val="24"/>
        </w:rPr>
        <w:t>MADDE 2</w:t>
      </w:r>
      <w:r w:rsidR="00B02E3F">
        <w:rPr>
          <w:rFonts w:hAnsi="Times New Roman"/>
          <w:b/>
          <w:sz w:val="24"/>
          <w:szCs w:val="24"/>
        </w:rPr>
        <w:t>4</w:t>
      </w:r>
      <w:r w:rsidR="00B92BBB" w:rsidRPr="00574E11">
        <w:rPr>
          <w:rFonts w:hAnsi="Times New Roman"/>
          <w:b/>
          <w:sz w:val="24"/>
          <w:szCs w:val="24"/>
        </w:rPr>
        <w:t xml:space="preserve"> – </w:t>
      </w:r>
      <w:r w:rsidR="00B92BBB" w:rsidRPr="00574E11">
        <w:rPr>
          <w:rFonts w:hAnsi="Times New Roman"/>
          <w:sz w:val="24"/>
          <w:szCs w:val="24"/>
        </w:rPr>
        <w:t>Bu Yönetmelik yayımı tarihinde yürürlüğe girer.</w:t>
      </w:r>
    </w:p>
    <w:p w:rsidR="00E3674E" w:rsidRPr="00574E11" w:rsidRDefault="00E3674E" w:rsidP="00B92BBB">
      <w:pPr>
        <w:pStyle w:val="3-NormalYaz"/>
        <w:spacing w:line="240" w:lineRule="exact"/>
        <w:ind w:firstLine="566"/>
        <w:rPr>
          <w:rFonts w:hAnsi="Times New Roman"/>
          <w:sz w:val="24"/>
          <w:szCs w:val="24"/>
        </w:rPr>
      </w:pPr>
    </w:p>
    <w:p w:rsidR="00B92BBB" w:rsidRPr="00574E11" w:rsidRDefault="00574E11" w:rsidP="00B92BBB">
      <w:pPr>
        <w:pStyle w:val="3-NormalYaz"/>
        <w:spacing w:line="240" w:lineRule="exact"/>
        <w:ind w:firstLine="566"/>
        <w:rPr>
          <w:rFonts w:hAnsi="Times New Roman"/>
          <w:sz w:val="24"/>
          <w:szCs w:val="24"/>
        </w:rPr>
      </w:pPr>
      <w:r>
        <w:rPr>
          <w:rFonts w:hAnsi="Times New Roman"/>
          <w:b/>
          <w:sz w:val="24"/>
          <w:szCs w:val="24"/>
        </w:rPr>
        <w:t xml:space="preserve">  </w:t>
      </w:r>
      <w:r w:rsidR="00B92BBB" w:rsidRPr="00574E11">
        <w:rPr>
          <w:rFonts w:hAnsi="Times New Roman"/>
          <w:b/>
          <w:sz w:val="24"/>
          <w:szCs w:val="24"/>
        </w:rPr>
        <w:t>MADDE 2</w:t>
      </w:r>
      <w:r w:rsidR="00B02E3F">
        <w:rPr>
          <w:rFonts w:hAnsi="Times New Roman"/>
          <w:b/>
          <w:sz w:val="24"/>
          <w:szCs w:val="24"/>
        </w:rPr>
        <w:t xml:space="preserve">5 </w:t>
      </w:r>
      <w:r w:rsidR="00B92BBB" w:rsidRPr="00574E11">
        <w:rPr>
          <w:rFonts w:hAnsi="Times New Roman"/>
          <w:b/>
          <w:sz w:val="24"/>
          <w:szCs w:val="24"/>
        </w:rPr>
        <w:t xml:space="preserve">– </w:t>
      </w:r>
      <w:r w:rsidR="00B92BBB" w:rsidRPr="00574E11">
        <w:rPr>
          <w:rFonts w:hAnsi="Times New Roman"/>
          <w:sz w:val="24"/>
          <w:szCs w:val="24"/>
        </w:rPr>
        <w:t>Bu Yönetmelik hükümlerini Çevre ve Şehircilik Bakanı yürütür.</w:t>
      </w:r>
    </w:p>
    <w:p w:rsidR="00B92BBB" w:rsidRPr="00B94046" w:rsidRDefault="00B92BBB" w:rsidP="00B94046">
      <w:pPr>
        <w:rPr>
          <w:color w:val="000000" w:themeColor="text1"/>
          <w:szCs w:val="24"/>
        </w:rPr>
      </w:pPr>
    </w:p>
    <w:p w:rsidR="00B94046" w:rsidRPr="00B83D30" w:rsidRDefault="00B94046" w:rsidP="009227B1">
      <w:pPr>
        <w:ind w:firstLine="708"/>
        <w:rPr>
          <w:bCs/>
          <w:szCs w:val="24"/>
        </w:rPr>
      </w:pPr>
    </w:p>
    <w:p w:rsidR="0017738D" w:rsidRPr="0017738D" w:rsidRDefault="0017738D" w:rsidP="00766665">
      <w:pPr>
        <w:rPr>
          <w:b/>
          <w:szCs w:val="24"/>
        </w:rPr>
      </w:pPr>
    </w:p>
    <w:p w:rsidR="00766665" w:rsidRDefault="00766665" w:rsidP="00DC76E1">
      <w:pPr>
        <w:rPr>
          <w:szCs w:val="24"/>
        </w:rPr>
      </w:pPr>
    </w:p>
    <w:p w:rsidR="00DC76E1" w:rsidRDefault="00DC76E1" w:rsidP="00DC76E1">
      <w:pPr>
        <w:rPr>
          <w:szCs w:val="24"/>
        </w:rPr>
      </w:pPr>
    </w:p>
    <w:p w:rsidR="009075FF" w:rsidRDefault="009075FF" w:rsidP="007F545C">
      <w:pPr>
        <w:spacing w:after="100" w:afterAutospacing="1" w:line="240" w:lineRule="atLeast"/>
        <w:ind w:firstLine="708"/>
        <w:rPr>
          <w:rFonts w:eastAsia="MS Mincho"/>
        </w:rPr>
      </w:pPr>
    </w:p>
    <w:p w:rsidR="009075FF" w:rsidRDefault="009075FF" w:rsidP="007F545C">
      <w:pPr>
        <w:spacing w:after="100" w:afterAutospacing="1" w:line="240" w:lineRule="atLeast"/>
        <w:ind w:firstLine="708"/>
        <w:rPr>
          <w:rFonts w:eastAsia="MS Mincho"/>
        </w:rPr>
      </w:pPr>
    </w:p>
    <w:p w:rsidR="00F56BF0" w:rsidRPr="0071736B" w:rsidRDefault="00F56BF0" w:rsidP="00A42F71">
      <w:pPr>
        <w:spacing w:before="0" w:beforeAutospacing="0" w:after="200" w:line="276" w:lineRule="auto"/>
        <w:ind w:firstLine="0"/>
        <w:jc w:val="left"/>
        <w:rPr>
          <w:szCs w:val="24"/>
        </w:rPr>
      </w:pPr>
    </w:p>
    <w:sectPr w:rsidR="00F56BF0" w:rsidRPr="0071736B" w:rsidSect="00A42F71">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224" w:rsidRDefault="00F61224" w:rsidP="00D85AF1">
      <w:pPr>
        <w:spacing w:before="0" w:after="0"/>
      </w:pPr>
      <w:r>
        <w:separator/>
      </w:r>
    </w:p>
  </w:endnote>
  <w:endnote w:type="continuationSeparator" w:id="0">
    <w:p w:rsidR="00F61224" w:rsidRDefault="00F61224" w:rsidP="00D85A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88566568"/>
      <w:docPartObj>
        <w:docPartGallery w:val="Page Numbers (Bottom of Page)"/>
        <w:docPartUnique/>
      </w:docPartObj>
    </w:sdtPr>
    <w:sdtEndPr/>
    <w:sdtContent>
      <w:sdt>
        <w:sdtPr>
          <w:rPr>
            <w:sz w:val="22"/>
          </w:rPr>
          <w:id w:val="-1669238322"/>
          <w:docPartObj>
            <w:docPartGallery w:val="Page Numbers (Top of Page)"/>
            <w:docPartUnique/>
          </w:docPartObj>
        </w:sdtPr>
        <w:sdtEndPr/>
        <w:sdtContent>
          <w:p w:rsidR="00C457A3" w:rsidRPr="00A42F71" w:rsidRDefault="003377B2">
            <w:pPr>
              <w:pStyle w:val="Altbilgi"/>
              <w:jc w:val="center"/>
              <w:rPr>
                <w:sz w:val="22"/>
              </w:rPr>
            </w:pPr>
            <w:r w:rsidRPr="00A42F71">
              <w:rPr>
                <w:bCs/>
                <w:sz w:val="22"/>
                <w:szCs w:val="24"/>
              </w:rPr>
              <w:fldChar w:fldCharType="begin"/>
            </w:r>
            <w:r w:rsidR="00C457A3" w:rsidRPr="00A42F71">
              <w:rPr>
                <w:bCs/>
                <w:sz w:val="22"/>
              </w:rPr>
              <w:instrText>PAGE</w:instrText>
            </w:r>
            <w:r w:rsidRPr="00A42F71">
              <w:rPr>
                <w:bCs/>
                <w:sz w:val="22"/>
                <w:szCs w:val="24"/>
              </w:rPr>
              <w:fldChar w:fldCharType="separate"/>
            </w:r>
            <w:r w:rsidR="003377BA">
              <w:rPr>
                <w:bCs/>
                <w:noProof/>
                <w:sz w:val="22"/>
              </w:rPr>
              <w:t>6</w:t>
            </w:r>
            <w:r w:rsidRPr="00A42F71">
              <w:rPr>
                <w:bCs/>
                <w:sz w:val="22"/>
                <w:szCs w:val="24"/>
              </w:rPr>
              <w:fldChar w:fldCharType="end"/>
            </w:r>
            <w:r w:rsidR="00C457A3" w:rsidRPr="00A42F71">
              <w:rPr>
                <w:sz w:val="22"/>
              </w:rPr>
              <w:t>/</w:t>
            </w:r>
            <w:r w:rsidRPr="00A42F71">
              <w:rPr>
                <w:bCs/>
                <w:sz w:val="22"/>
                <w:szCs w:val="24"/>
              </w:rPr>
              <w:fldChar w:fldCharType="begin"/>
            </w:r>
            <w:r w:rsidR="00C457A3" w:rsidRPr="00A42F71">
              <w:rPr>
                <w:bCs/>
                <w:sz w:val="22"/>
              </w:rPr>
              <w:instrText>NUMPAGES</w:instrText>
            </w:r>
            <w:r w:rsidRPr="00A42F71">
              <w:rPr>
                <w:bCs/>
                <w:sz w:val="22"/>
                <w:szCs w:val="24"/>
              </w:rPr>
              <w:fldChar w:fldCharType="separate"/>
            </w:r>
            <w:r w:rsidR="003377BA">
              <w:rPr>
                <w:bCs/>
                <w:noProof/>
                <w:sz w:val="22"/>
              </w:rPr>
              <w:t>7</w:t>
            </w:r>
            <w:r w:rsidRPr="00A42F71">
              <w:rPr>
                <w:bCs/>
                <w:sz w:val="22"/>
                <w:szCs w:val="24"/>
              </w:rPr>
              <w:fldChar w:fldCharType="end"/>
            </w:r>
          </w:p>
        </w:sdtContent>
      </w:sdt>
    </w:sdtContent>
  </w:sdt>
  <w:p w:rsidR="00C457A3" w:rsidRDefault="00C457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224" w:rsidRDefault="00F61224" w:rsidP="00D85AF1">
      <w:pPr>
        <w:spacing w:before="0" w:after="0"/>
      </w:pPr>
      <w:r>
        <w:separator/>
      </w:r>
    </w:p>
  </w:footnote>
  <w:footnote w:type="continuationSeparator" w:id="0">
    <w:p w:rsidR="00F61224" w:rsidRDefault="00F61224" w:rsidP="00D85AF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C728B"/>
    <w:multiLevelType w:val="hybridMultilevel"/>
    <w:tmpl w:val="77988506"/>
    <w:lvl w:ilvl="0" w:tplc="9ABA4424">
      <w:start w:val="1"/>
      <w:numFmt w:val="lowerLetter"/>
      <w:lvlText w:val="%1)"/>
      <w:lvlJc w:val="left"/>
      <w:pPr>
        <w:tabs>
          <w:tab w:val="num" w:pos="1620"/>
        </w:tabs>
        <w:ind w:left="1620" w:hanging="360"/>
      </w:pPr>
      <w:rPr>
        <w:rFonts w:cs="Times New Roman" w:hint="default"/>
      </w:rPr>
    </w:lvl>
    <w:lvl w:ilvl="1" w:tplc="041F0019">
      <w:start w:val="1"/>
      <w:numFmt w:val="lowerLetter"/>
      <w:lvlText w:val="%2."/>
      <w:lvlJc w:val="left"/>
      <w:pPr>
        <w:tabs>
          <w:tab w:val="num" w:pos="2340"/>
        </w:tabs>
        <w:ind w:left="2340" w:hanging="360"/>
      </w:pPr>
      <w:rPr>
        <w:rFonts w:cs="Times New Roman"/>
      </w:rPr>
    </w:lvl>
    <w:lvl w:ilvl="2" w:tplc="041F001B">
      <w:start w:val="1"/>
      <w:numFmt w:val="lowerRoman"/>
      <w:lvlText w:val="%3."/>
      <w:lvlJc w:val="right"/>
      <w:pPr>
        <w:tabs>
          <w:tab w:val="num" w:pos="3060"/>
        </w:tabs>
        <w:ind w:left="3060" w:hanging="180"/>
      </w:pPr>
      <w:rPr>
        <w:rFonts w:cs="Times New Roman"/>
      </w:rPr>
    </w:lvl>
    <w:lvl w:ilvl="3" w:tplc="041F000F">
      <w:start w:val="1"/>
      <w:numFmt w:val="decimal"/>
      <w:lvlText w:val="%4."/>
      <w:lvlJc w:val="left"/>
      <w:pPr>
        <w:tabs>
          <w:tab w:val="num" w:pos="3780"/>
        </w:tabs>
        <w:ind w:left="3780" w:hanging="360"/>
      </w:pPr>
      <w:rPr>
        <w:rFonts w:cs="Times New Roman"/>
      </w:rPr>
    </w:lvl>
    <w:lvl w:ilvl="4" w:tplc="041F0019">
      <w:start w:val="1"/>
      <w:numFmt w:val="lowerLetter"/>
      <w:lvlText w:val="%5."/>
      <w:lvlJc w:val="left"/>
      <w:pPr>
        <w:tabs>
          <w:tab w:val="num" w:pos="4500"/>
        </w:tabs>
        <w:ind w:left="4500" w:hanging="360"/>
      </w:pPr>
      <w:rPr>
        <w:rFonts w:cs="Times New Roman"/>
      </w:rPr>
    </w:lvl>
    <w:lvl w:ilvl="5" w:tplc="041F001B">
      <w:start w:val="1"/>
      <w:numFmt w:val="lowerRoman"/>
      <w:lvlText w:val="%6."/>
      <w:lvlJc w:val="right"/>
      <w:pPr>
        <w:tabs>
          <w:tab w:val="num" w:pos="5220"/>
        </w:tabs>
        <w:ind w:left="5220" w:hanging="180"/>
      </w:pPr>
      <w:rPr>
        <w:rFonts w:cs="Times New Roman"/>
      </w:rPr>
    </w:lvl>
    <w:lvl w:ilvl="6" w:tplc="041F000F">
      <w:start w:val="1"/>
      <w:numFmt w:val="decimal"/>
      <w:lvlText w:val="%7."/>
      <w:lvlJc w:val="left"/>
      <w:pPr>
        <w:tabs>
          <w:tab w:val="num" w:pos="5940"/>
        </w:tabs>
        <w:ind w:left="5940" w:hanging="360"/>
      </w:pPr>
      <w:rPr>
        <w:rFonts w:cs="Times New Roman"/>
      </w:rPr>
    </w:lvl>
    <w:lvl w:ilvl="7" w:tplc="041F0019">
      <w:start w:val="1"/>
      <w:numFmt w:val="lowerLetter"/>
      <w:lvlText w:val="%8."/>
      <w:lvlJc w:val="left"/>
      <w:pPr>
        <w:tabs>
          <w:tab w:val="num" w:pos="6660"/>
        </w:tabs>
        <w:ind w:left="6660" w:hanging="360"/>
      </w:pPr>
      <w:rPr>
        <w:rFonts w:cs="Times New Roman"/>
      </w:rPr>
    </w:lvl>
    <w:lvl w:ilvl="8" w:tplc="041F001B">
      <w:start w:val="1"/>
      <w:numFmt w:val="lowerRoman"/>
      <w:lvlText w:val="%9."/>
      <w:lvlJc w:val="right"/>
      <w:pPr>
        <w:tabs>
          <w:tab w:val="num" w:pos="7380"/>
        </w:tabs>
        <w:ind w:left="7380" w:hanging="180"/>
      </w:pPr>
      <w:rPr>
        <w:rFonts w:cs="Times New Roman"/>
      </w:rPr>
    </w:lvl>
  </w:abstractNum>
  <w:abstractNum w:abstractNumId="1">
    <w:nsid w:val="3D006CA7"/>
    <w:multiLevelType w:val="hybridMultilevel"/>
    <w:tmpl w:val="7D9AF8F0"/>
    <w:lvl w:ilvl="0" w:tplc="25B8678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462B1969"/>
    <w:multiLevelType w:val="hybridMultilevel"/>
    <w:tmpl w:val="5BEA7FD0"/>
    <w:lvl w:ilvl="0" w:tplc="1B46A870">
      <w:start w:val="1"/>
      <w:numFmt w:val="lowerLetter"/>
      <w:lvlText w:val="%1)"/>
      <w:lvlJc w:val="left"/>
      <w:pPr>
        <w:tabs>
          <w:tab w:val="num" w:pos="1620"/>
        </w:tabs>
        <w:ind w:left="1620" w:hanging="360"/>
      </w:pPr>
      <w:rPr>
        <w:rFonts w:cs="Times New Roman" w:hint="default"/>
      </w:rPr>
    </w:lvl>
    <w:lvl w:ilvl="1" w:tplc="041F0019">
      <w:start w:val="1"/>
      <w:numFmt w:val="lowerLetter"/>
      <w:lvlText w:val="%2."/>
      <w:lvlJc w:val="left"/>
      <w:pPr>
        <w:tabs>
          <w:tab w:val="num" w:pos="2340"/>
        </w:tabs>
        <w:ind w:left="2340" w:hanging="360"/>
      </w:pPr>
      <w:rPr>
        <w:rFonts w:cs="Times New Roman"/>
      </w:rPr>
    </w:lvl>
    <w:lvl w:ilvl="2" w:tplc="041F001B">
      <w:start w:val="1"/>
      <w:numFmt w:val="lowerRoman"/>
      <w:lvlText w:val="%3."/>
      <w:lvlJc w:val="right"/>
      <w:pPr>
        <w:tabs>
          <w:tab w:val="num" w:pos="3060"/>
        </w:tabs>
        <w:ind w:left="3060" w:hanging="180"/>
      </w:pPr>
      <w:rPr>
        <w:rFonts w:cs="Times New Roman"/>
      </w:rPr>
    </w:lvl>
    <w:lvl w:ilvl="3" w:tplc="041F000F">
      <w:start w:val="1"/>
      <w:numFmt w:val="decimal"/>
      <w:lvlText w:val="%4."/>
      <w:lvlJc w:val="left"/>
      <w:pPr>
        <w:tabs>
          <w:tab w:val="num" w:pos="3780"/>
        </w:tabs>
        <w:ind w:left="3780" w:hanging="360"/>
      </w:pPr>
      <w:rPr>
        <w:rFonts w:cs="Times New Roman"/>
      </w:rPr>
    </w:lvl>
    <w:lvl w:ilvl="4" w:tplc="041F0019">
      <w:start w:val="1"/>
      <w:numFmt w:val="lowerLetter"/>
      <w:lvlText w:val="%5."/>
      <w:lvlJc w:val="left"/>
      <w:pPr>
        <w:tabs>
          <w:tab w:val="num" w:pos="4500"/>
        </w:tabs>
        <w:ind w:left="4500" w:hanging="360"/>
      </w:pPr>
      <w:rPr>
        <w:rFonts w:cs="Times New Roman"/>
      </w:rPr>
    </w:lvl>
    <w:lvl w:ilvl="5" w:tplc="041F001B">
      <w:start w:val="1"/>
      <w:numFmt w:val="lowerRoman"/>
      <w:lvlText w:val="%6."/>
      <w:lvlJc w:val="right"/>
      <w:pPr>
        <w:tabs>
          <w:tab w:val="num" w:pos="5220"/>
        </w:tabs>
        <w:ind w:left="5220" w:hanging="180"/>
      </w:pPr>
      <w:rPr>
        <w:rFonts w:cs="Times New Roman"/>
      </w:rPr>
    </w:lvl>
    <w:lvl w:ilvl="6" w:tplc="041F000F">
      <w:start w:val="1"/>
      <w:numFmt w:val="decimal"/>
      <w:lvlText w:val="%7."/>
      <w:lvlJc w:val="left"/>
      <w:pPr>
        <w:tabs>
          <w:tab w:val="num" w:pos="5940"/>
        </w:tabs>
        <w:ind w:left="5940" w:hanging="360"/>
      </w:pPr>
      <w:rPr>
        <w:rFonts w:cs="Times New Roman"/>
      </w:rPr>
    </w:lvl>
    <w:lvl w:ilvl="7" w:tplc="041F0019">
      <w:start w:val="1"/>
      <w:numFmt w:val="lowerLetter"/>
      <w:lvlText w:val="%8."/>
      <w:lvlJc w:val="left"/>
      <w:pPr>
        <w:tabs>
          <w:tab w:val="num" w:pos="6660"/>
        </w:tabs>
        <w:ind w:left="6660" w:hanging="360"/>
      </w:pPr>
      <w:rPr>
        <w:rFonts w:cs="Times New Roman"/>
      </w:rPr>
    </w:lvl>
    <w:lvl w:ilvl="8" w:tplc="041F001B">
      <w:start w:val="1"/>
      <w:numFmt w:val="lowerRoman"/>
      <w:lvlText w:val="%9."/>
      <w:lvlJc w:val="right"/>
      <w:pPr>
        <w:tabs>
          <w:tab w:val="num" w:pos="7380"/>
        </w:tabs>
        <w:ind w:left="7380" w:hanging="180"/>
      </w:pPr>
      <w:rPr>
        <w:rFonts w:cs="Times New Roman"/>
      </w:rPr>
    </w:lvl>
  </w:abstractNum>
  <w:abstractNum w:abstractNumId="3">
    <w:nsid w:val="4D9C260E"/>
    <w:multiLevelType w:val="hybridMultilevel"/>
    <w:tmpl w:val="05EA373A"/>
    <w:lvl w:ilvl="0" w:tplc="17B4D62C">
      <w:start w:val="1"/>
      <w:numFmt w:val="decimal"/>
      <w:lvlText w:val="(%1)"/>
      <w:lvlJc w:val="left"/>
      <w:pPr>
        <w:ind w:left="1129" w:hanging="360"/>
      </w:pPr>
      <w:rPr>
        <w:rFonts w:cs="Times New Roman" w:hint="default"/>
        <w:b w:val="0"/>
      </w:rPr>
    </w:lvl>
    <w:lvl w:ilvl="1" w:tplc="041F0019">
      <w:start w:val="1"/>
      <w:numFmt w:val="lowerLetter"/>
      <w:lvlText w:val="%2."/>
      <w:lvlJc w:val="left"/>
      <w:pPr>
        <w:ind w:left="1849" w:hanging="360"/>
      </w:pPr>
      <w:rPr>
        <w:rFonts w:cs="Times New Roman"/>
      </w:rPr>
    </w:lvl>
    <w:lvl w:ilvl="2" w:tplc="041F001B">
      <w:start w:val="1"/>
      <w:numFmt w:val="lowerRoman"/>
      <w:lvlText w:val="%3."/>
      <w:lvlJc w:val="right"/>
      <w:pPr>
        <w:ind w:left="2569" w:hanging="180"/>
      </w:pPr>
      <w:rPr>
        <w:rFonts w:cs="Times New Roman"/>
      </w:rPr>
    </w:lvl>
    <w:lvl w:ilvl="3" w:tplc="041F000F">
      <w:start w:val="1"/>
      <w:numFmt w:val="decimal"/>
      <w:lvlText w:val="%4."/>
      <w:lvlJc w:val="left"/>
      <w:pPr>
        <w:ind w:left="3289" w:hanging="360"/>
      </w:pPr>
      <w:rPr>
        <w:rFonts w:cs="Times New Roman"/>
      </w:rPr>
    </w:lvl>
    <w:lvl w:ilvl="4" w:tplc="041F0019">
      <w:start w:val="1"/>
      <w:numFmt w:val="lowerLetter"/>
      <w:lvlText w:val="%5."/>
      <w:lvlJc w:val="left"/>
      <w:pPr>
        <w:ind w:left="4009" w:hanging="360"/>
      </w:pPr>
      <w:rPr>
        <w:rFonts w:cs="Times New Roman"/>
      </w:rPr>
    </w:lvl>
    <w:lvl w:ilvl="5" w:tplc="041F001B">
      <w:start w:val="1"/>
      <w:numFmt w:val="lowerRoman"/>
      <w:lvlText w:val="%6."/>
      <w:lvlJc w:val="right"/>
      <w:pPr>
        <w:ind w:left="4729" w:hanging="180"/>
      </w:pPr>
      <w:rPr>
        <w:rFonts w:cs="Times New Roman"/>
      </w:rPr>
    </w:lvl>
    <w:lvl w:ilvl="6" w:tplc="041F000F">
      <w:start w:val="1"/>
      <w:numFmt w:val="decimal"/>
      <w:lvlText w:val="%7."/>
      <w:lvlJc w:val="left"/>
      <w:pPr>
        <w:ind w:left="5449" w:hanging="360"/>
      </w:pPr>
      <w:rPr>
        <w:rFonts w:cs="Times New Roman"/>
      </w:rPr>
    </w:lvl>
    <w:lvl w:ilvl="7" w:tplc="041F0019">
      <w:start w:val="1"/>
      <w:numFmt w:val="lowerLetter"/>
      <w:lvlText w:val="%8."/>
      <w:lvlJc w:val="left"/>
      <w:pPr>
        <w:ind w:left="6169" w:hanging="360"/>
      </w:pPr>
      <w:rPr>
        <w:rFonts w:cs="Times New Roman"/>
      </w:rPr>
    </w:lvl>
    <w:lvl w:ilvl="8" w:tplc="041F001B">
      <w:start w:val="1"/>
      <w:numFmt w:val="lowerRoman"/>
      <w:lvlText w:val="%9."/>
      <w:lvlJc w:val="right"/>
      <w:pPr>
        <w:ind w:left="6889" w:hanging="180"/>
      </w:pPr>
      <w:rPr>
        <w:rFonts w:cs="Times New Roman"/>
      </w:rPr>
    </w:lvl>
  </w:abstractNum>
  <w:abstractNum w:abstractNumId="4">
    <w:nsid w:val="62355D61"/>
    <w:multiLevelType w:val="hybridMultilevel"/>
    <w:tmpl w:val="2C066824"/>
    <w:lvl w:ilvl="0" w:tplc="FF088C62">
      <w:start w:val="3"/>
      <w:numFmt w:val="decimal"/>
      <w:lvlText w:val="(%1)"/>
      <w:lvlJc w:val="left"/>
      <w:pPr>
        <w:ind w:left="1129" w:hanging="360"/>
      </w:pPr>
      <w:rPr>
        <w:rFonts w:hint="default"/>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CB"/>
    <w:rsid w:val="00001DEC"/>
    <w:rsid w:val="00014814"/>
    <w:rsid w:val="00057233"/>
    <w:rsid w:val="0007312B"/>
    <w:rsid w:val="000761F9"/>
    <w:rsid w:val="00077BC3"/>
    <w:rsid w:val="00095530"/>
    <w:rsid w:val="000A6EFB"/>
    <w:rsid w:val="000B3AEA"/>
    <w:rsid w:val="000B50B0"/>
    <w:rsid w:val="000C379F"/>
    <w:rsid w:val="000C7ADC"/>
    <w:rsid w:val="000D12BD"/>
    <w:rsid w:val="000E4BDB"/>
    <w:rsid w:val="000E58B3"/>
    <w:rsid w:val="000F468A"/>
    <w:rsid w:val="000F6DA5"/>
    <w:rsid w:val="001111FB"/>
    <w:rsid w:val="00114FD9"/>
    <w:rsid w:val="00116727"/>
    <w:rsid w:val="00117999"/>
    <w:rsid w:val="00136C10"/>
    <w:rsid w:val="00137DBB"/>
    <w:rsid w:val="0014233C"/>
    <w:rsid w:val="0014785D"/>
    <w:rsid w:val="00160848"/>
    <w:rsid w:val="001713B6"/>
    <w:rsid w:val="0017738D"/>
    <w:rsid w:val="00183332"/>
    <w:rsid w:val="001C0447"/>
    <w:rsid w:val="001D15D0"/>
    <w:rsid w:val="001E3F3A"/>
    <w:rsid w:val="0020538D"/>
    <w:rsid w:val="00213FAE"/>
    <w:rsid w:val="002326D8"/>
    <w:rsid w:val="00242EF7"/>
    <w:rsid w:val="002632B4"/>
    <w:rsid w:val="0026743A"/>
    <w:rsid w:val="00290936"/>
    <w:rsid w:val="002A2514"/>
    <w:rsid w:val="002C342B"/>
    <w:rsid w:val="002C4458"/>
    <w:rsid w:val="002C684A"/>
    <w:rsid w:val="002D4B07"/>
    <w:rsid w:val="002D7EED"/>
    <w:rsid w:val="002E47C5"/>
    <w:rsid w:val="003233C9"/>
    <w:rsid w:val="00326CE4"/>
    <w:rsid w:val="003377B2"/>
    <w:rsid w:val="003377BA"/>
    <w:rsid w:val="003629F4"/>
    <w:rsid w:val="003C6488"/>
    <w:rsid w:val="003D1ED0"/>
    <w:rsid w:val="003E3AAB"/>
    <w:rsid w:val="00403B5F"/>
    <w:rsid w:val="00407281"/>
    <w:rsid w:val="0041259D"/>
    <w:rsid w:val="00412CCC"/>
    <w:rsid w:val="00433FB5"/>
    <w:rsid w:val="0044487D"/>
    <w:rsid w:val="00460F91"/>
    <w:rsid w:val="00472EA8"/>
    <w:rsid w:val="00476B5C"/>
    <w:rsid w:val="004908C8"/>
    <w:rsid w:val="004A2299"/>
    <w:rsid w:val="004B0D5D"/>
    <w:rsid w:val="004B7F5C"/>
    <w:rsid w:val="004C5F1B"/>
    <w:rsid w:val="004E497A"/>
    <w:rsid w:val="004E5DA4"/>
    <w:rsid w:val="004F3286"/>
    <w:rsid w:val="004F5FD4"/>
    <w:rsid w:val="00522127"/>
    <w:rsid w:val="00522DEF"/>
    <w:rsid w:val="00534F1B"/>
    <w:rsid w:val="00536BBC"/>
    <w:rsid w:val="00543F50"/>
    <w:rsid w:val="005560FF"/>
    <w:rsid w:val="005632E2"/>
    <w:rsid w:val="00574E11"/>
    <w:rsid w:val="00583AEA"/>
    <w:rsid w:val="005B32C2"/>
    <w:rsid w:val="005F0788"/>
    <w:rsid w:val="005F7EEB"/>
    <w:rsid w:val="00621574"/>
    <w:rsid w:val="00632612"/>
    <w:rsid w:val="00632A10"/>
    <w:rsid w:val="006336DF"/>
    <w:rsid w:val="00643176"/>
    <w:rsid w:val="00646F06"/>
    <w:rsid w:val="00661DBF"/>
    <w:rsid w:val="006A111F"/>
    <w:rsid w:val="006A6920"/>
    <w:rsid w:val="006B1F37"/>
    <w:rsid w:val="006B3740"/>
    <w:rsid w:val="006D47CC"/>
    <w:rsid w:val="006E3647"/>
    <w:rsid w:val="0071736B"/>
    <w:rsid w:val="007220F9"/>
    <w:rsid w:val="00723D50"/>
    <w:rsid w:val="00724DB1"/>
    <w:rsid w:val="007414B3"/>
    <w:rsid w:val="00747297"/>
    <w:rsid w:val="007537A6"/>
    <w:rsid w:val="00766665"/>
    <w:rsid w:val="0078321F"/>
    <w:rsid w:val="00787289"/>
    <w:rsid w:val="00792FB2"/>
    <w:rsid w:val="007C0C5E"/>
    <w:rsid w:val="007D4E22"/>
    <w:rsid w:val="007D7BA4"/>
    <w:rsid w:val="007F545C"/>
    <w:rsid w:val="0080176A"/>
    <w:rsid w:val="00801AAA"/>
    <w:rsid w:val="00841537"/>
    <w:rsid w:val="008476B6"/>
    <w:rsid w:val="00864234"/>
    <w:rsid w:val="00866594"/>
    <w:rsid w:val="00870BCB"/>
    <w:rsid w:val="00872EC6"/>
    <w:rsid w:val="00884D11"/>
    <w:rsid w:val="00893AC2"/>
    <w:rsid w:val="008A318C"/>
    <w:rsid w:val="008A3F10"/>
    <w:rsid w:val="008A4631"/>
    <w:rsid w:val="008D1EF7"/>
    <w:rsid w:val="008E5CCA"/>
    <w:rsid w:val="008E7FA3"/>
    <w:rsid w:val="00902628"/>
    <w:rsid w:val="00906007"/>
    <w:rsid w:val="009075FF"/>
    <w:rsid w:val="00915359"/>
    <w:rsid w:val="00917590"/>
    <w:rsid w:val="009227B1"/>
    <w:rsid w:val="009270D2"/>
    <w:rsid w:val="00932311"/>
    <w:rsid w:val="00940583"/>
    <w:rsid w:val="00945BDE"/>
    <w:rsid w:val="00962D6F"/>
    <w:rsid w:val="00962E50"/>
    <w:rsid w:val="00974B0D"/>
    <w:rsid w:val="00981536"/>
    <w:rsid w:val="009934D6"/>
    <w:rsid w:val="00994C70"/>
    <w:rsid w:val="009A73E9"/>
    <w:rsid w:val="009B3882"/>
    <w:rsid w:val="009B63CD"/>
    <w:rsid w:val="009C3B7C"/>
    <w:rsid w:val="009C444A"/>
    <w:rsid w:val="009D54E1"/>
    <w:rsid w:val="009E6707"/>
    <w:rsid w:val="00A02B3C"/>
    <w:rsid w:val="00A03677"/>
    <w:rsid w:val="00A050F3"/>
    <w:rsid w:val="00A15FBF"/>
    <w:rsid w:val="00A26178"/>
    <w:rsid w:val="00A33DCA"/>
    <w:rsid w:val="00A411E3"/>
    <w:rsid w:val="00A42F71"/>
    <w:rsid w:val="00A505DF"/>
    <w:rsid w:val="00A5367B"/>
    <w:rsid w:val="00A57965"/>
    <w:rsid w:val="00A736E2"/>
    <w:rsid w:val="00A750FF"/>
    <w:rsid w:val="00AD4FC1"/>
    <w:rsid w:val="00B01C55"/>
    <w:rsid w:val="00B01E84"/>
    <w:rsid w:val="00B02E3F"/>
    <w:rsid w:val="00B04B5B"/>
    <w:rsid w:val="00B12F85"/>
    <w:rsid w:val="00B151AC"/>
    <w:rsid w:val="00B208D2"/>
    <w:rsid w:val="00B22AB7"/>
    <w:rsid w:val="00B34BD1"/>
    <w:rsid w:val="00B36563"/>
    <w:rsid w:val="00B40874"/>
    <w:rsid w:val="00B6525B"/>
    <w:rsid w:val="00B92BBB"/>
    <w:rsid w:val="00B94046"/>
    <w:rsid w:val="00B940BC"/>
    <w:rsid w:val="00BB1489"/>
    <w:rsid w:val="00BB2769"/>
    <w:rsid w:val="00BB3382"/>
    <w:rsid w:val="00BC6BBD"/>
    <w:rsid w:val="00BD174A"/>
    <w:rsid w:val="00BE6125"/>
    <w:rsid w:val="00BE779A"/>
    <w:rsid w:val="00BF4A99"/>
    <w:rsid w:val="00C0374D"/>
    <w:rsid w:val="00C124AE"/>
    <w:rsid w:val="00C209E5"/>
    <w:rsid w:val="00C243EF"/>
    <w:rsid w:val="00C30B36"/>
    <w:rsid w:val="00C333C8"/>
    <w:rsid w:val="00C33D07"/>
    <w:rsid w:val="00C44D7B"/>
    <w:rsid w:val="00C457A3"/>
    <w:rsid w:val="00C47478"/>
    <w:rsid w:val="00C75C3A"/>
    <w:rsid w:val="00C940D7"/>
    <w:rsid w:val="00CD12EE"/>
    <w:rsid w:val="00CD5234"/>
    <w:rsid w:val="00CD7B0A"/>
    <w:rsid w:val="00CE683F"/>
    <w:rsid w:val="00D06907"/>
    <w:rsid w:val="00D176EB"/>
    <w:rsid w:val="00D219CB"/>
    <w:rsid w:val="00D3131B"/>
    <w:rsid w:val="00D32936"/>
    <w:rsid w:val="00D439F9"/>
    <w:rsid w:val="00D85AF1"/>
    <w:rsid w:val="00D907EB"/>
    <w:rsid w:val="00D92D17"/>
    <w:rsid w:val="00DA6D28"/>
    <w:rsid w:val="00DA7E82"/>
    <w:rsid w:val="00DB7FDF"/>
    <w:rsid w:val="00DC205D"/>
    <w:rsid w:val="00DC76E1"/>
    <w:rsid w:val="00DE1E48"/>
    <w:rsid w:val="00DE7617"/>
    <w:rsid w:val="00E00D0F"/>
    <w:rsid w:val="00E03C7D"/>
    <w:rsid w:val="00E2744B"/>
    <w:rsid w:val="00E32BD2"/>
    <w:rsid w:val="00E3674E"/>
    <w:rsid w:val="00E40859"/>
    <w:rsid w:val="00E51DBD"/>
    <w:rsid w:val="00E54107"/>
    <w:rsid w:val="00E878F3"/>
    <w:rsid w:val="00E94498"/>
    <w:rsid w:val="00E94859"/>
    <w:rsid w:val="00EB3C64"/>
    <w:rsid w:val="00EB3F2A"/>
    <w:rsid w:val="00EC1894"/>
    <w:rsid w:val="00EC231D"/>
    <w:rsid w:val="00EC575C"/>
    <w:rsid w:val="00EC6367"/>
    <w:rsid w:val="00EC63C3"/>
    <w:rsid w:val="00ED2CFA"/>
    <w:rsid w:val="00EE5177"/>
    <w:rsid w:val="00F010CA"/>
    <w:rsid w:val="00F031C4"/>
    <w:rsid w:val="00F034E9"/>
    <w:rsid w:val="00F0465C"/>
    <w:rsid w:val="00F04E76"/>
    <w:rsid w:val="00F06C02"/>
    <w:rsid w:val="00F14053"/>
    <w:rsid w:val="00F14856"/>
    <w:rsid w:val="00F16ACF"/>
    <w:rsid w:val="00F56BF0"/>
    <w:rsid w:val="00F61224"/>
    <w:rsid w:val="00F70B59"/>
    <w:rsid w:val="00F808C6"/>
    <w:rsid w:val="00F82D5A"/>
    <w:rsid w:val="00F871AF"/>
    <w:rsid w:val="00F93CD9"/>
    <w:rsid w:val="00F96998"/>
    <w:rsid w:val="00FA4A04"/>
    <w:rsid w:val="00FB7D43"/>
    <w:rsid w:val="00FC35E4"/>
    <w:rsid w:val="00FC4737"/>
    <w:rsid w:val="00FE4C7C"/>
    <w:rsid w:val="00FE5325"/>
    <w:rsid w:val="00FF29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F4140-2C15-4CA5-AAC2-DA3826EC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CE4"/>
    <w:pPr>
      <w:spacing w:before="100" w:beforeAutospacing="1" w:after="120" w:line="240" w:lineRule="auto"/>
      <w:ind w:firstLine="709"/>
      <w:jc w:val="both"/>
    </w:pPr>
    <w:rPr>
      <w:rFonts w:ascii="Times New Roman" w:eastAsia="Calibri" w:hAnsi="Times New Roman" w:cs="Times New Roman"/>
      <w:sz w:val="24"/>
    </w:rPr>
  </w:style>
  <w:style w:type="paragraph" w:styleId="Balk1">
    <w:name w:val="heading 1"/>
    <w:basedOn w:val="Normal"/>
    <w:next w:val="Normal"/>
    <w:link w:val="Balk1Char"/>
    <w:uiPriority w:val="9"/>
    <w:qFormat/>
    <w:rsid w:val="004E5D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870B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077BC3"/>
    <w:pPr>
      <w:ind w:left="720"/>
      <w:contextualSpacing/>
    </w:pPr>
  </w:style>
  <w:style w:type="paragraph" w:styleId="BalonMetni">
    <w:name w:val="Balloon Text"/>
    <w:basedOn w:val="Normal"/>
    <w:link w:val="BalonMetniChar"/>
    <w:uiPriority w:val="99"/>
    <w:semiHidden/>
    <w:unhideWhenUsed/>
    <w:rsid w:val="00D176EB"/>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76EB"/>
    <w:rPr>
      <w:rFonts w:ascii="Tahoma" w:eastAsia="Calibri" w:hAnsi="Tahoma" w:cs="Tahoma"/>
      <w:sz w:val="16"/>
      <w:szCs w:val="16"/>
    </w:rPr>
  </w:style>
  <w:style w:type="paragraph" w:styleId="stbilgi">
    <w:name w:val="header"/>
    <w:basedOn w:val="Normal"/>
    <w:link w:val="stbilgiChar"/>
    <w:uiPriority w:val="99"/>
    <w:unhideWhenUsed/>
    <w:rsid w:val="00D85AF1"/>
    <w:pPr>
      <w:tabs>
        <w:tab w:val="center" w:pos="4536"/>
        <w:tab w:val="right" w:pos="9072"/>
      </w:tabs>
      <w:spacing w:before="0" w:after="0"/>
    </w:pPr>
  </w:style>
  <w:style w:type="character" w:customStyle="1" w:styleId="stbilgiChar">
    <w:name w:val="Üstbilgi Char"/>
    <w:basedOn w:val="VarsaylanParagrafYazTipi"/>
    <w:link w:val="stbilgi"/>
    <w:uiPriority w:val="99"/>
    <w:rsid w:val="00D85AF1"/>
    <w:rPr>
      <w:rFonts w:ascii="Times New Roman" w:eastAsia="Calibri" w:hAnsi="Times New Roman" w:cs="Times New Roman"/>
      <w:sz w:val="24"/>
    </w:rPr>
  </w:style>
  <w:style w:type="paragraph" w:styleId="Altbilgi">
    <w:name w:val="footer"/>
    <w:basedOn w:val="Normal"/>
    <w:link w:val="AltbilgiChar"/>
    <w:uiPriority w:val="99"/>
    <w:unhideWhenUsed/>
    <w:rsid w:val="00D85AF1"/>
    <w:pPr>
      <w:tabs>
        <w:tab w:val="center" w:pos="4536"/>
        <w:tab w:val="right" w:pos="9072"/>
      </w:tabs>
      <w:spacing w:before="0" w:after="0"/>
    </w:pPr>
  </w:style>
  <w:style w:type="character" w:customStyle="1" w:styleId="AltbilgiChar">
    <w:name w:val="Altbilgi Char"/>
    <w:basedOn w:val="VarsaylanParagrafYazTipi"/>
    <w:link w:val="Altbilgi"/>
    <w:uiPriority w:val="99"/>
    <w:rsid w:val="00D85AF1"/>
    <w:rPr>
      <w:rFonts w:ascii="Times New Roman" w:eastAsia="Calibri" w:hAnsi="Times New Roman" w:cs="Times New Roman"/>
      <w:sz w:val="24"/>
    </w:rPr>
  </w:style>
  <w:style w:type="paragraph" w:styleId="NormalWeb">
    <w:name w:val="Normal (Web)"/>
    <w:basedOn w:val="Normal"/>
    <w:uiPriority w:val="99"/>
    <w:rsid w:val="008D1EF7"/>
    <w:pPr>
      <w:spacing w:after="100" w:afterAutospacing="1"/>
      <w:ind w:firstLine="0"/>
      <w:jc w:val="left"/>
    </w:pPr>
    <w:rPr>
      <w:rFonts w:eastAsia="Times New Roman"/>
      <w:szCs w:val="24"/>
      <w:lang w:eastAsia="tr-TR"/>
    </w:rPr>
  </w:style>
  <w:style w:type="character" w:customStyle="1" w:styleId="apple-style-span">
    <w:name w:val="apple-style-span"/>
    <w:rsid w:val="00F16ACF"/>
  </w:style>
  <w:style w:type="character" w:customStyle="1" w:styleId="normal1">
    <w:name w:val="normal1"/>
    <w:basedOn w:val="VarsaylanParagrafYazTipi"/>
    <w:rsid w:val="00F16ACF"/>
  </w:style>
  <w:style w:type="character" w:customStyle="1" w:styleId="Balk1Char">
    <w:name w:val="Başlık 1 Char"/>
    <w:basedOn w:val="VarsaylanParagrafYazTipi"/>
    <w:link w:val="Balk1"/>
    <w:uiPriority w:val="9"/>
    <w:rsid w:val="004E5DA4"/>
    <w:rPr>
      <w:rFonts w:asciiTheme="majorHAnsi" w:eastAsiaTheme="majorEastAsia" w:hAnsiTheme="majorHAnsi" w:cstheme="majorBidi"/>
      <w:b/>
      <w:bCs/>
      <w:color w:val="365F91" w:themeColor="accent1" w:themeShade="BF"/>
      <w:sz w:val="28"/>
      <w:szCs w:val="28"/>
    </w:rPr>
  </w:style>
  <w:style w:type="paragraph" w:customStyle="1" w:styleId="3-NormalYaz">
    <w:name w:val="3-Normal Yazı"/>
    <w:rsid w:val="00B92BBB"/>
    <w:pPr>
      <w:tabs>
        <w:tab w:val="left" w:pos="566"/>
      </w:tabs>
      <w:spacing w:after="0" w:line="240" w:lineRule="auto"/>
      <w:jc w:val="both"/>
    </w:pPr>
    <w:rPr>
      <w:rFonts w:ascii="Times New Roman" w:eastAsia="ヒラギノ明朝 Pro W3" w:hAnsi="Times" w:cs="Times New Roman"/>
      <w:sz w:val="19"/>
      <w:szCs w:val="20"/>
    </w:rPr>
  </w:style>
  <w:style w:type="character" w:customStyle="1" w:styleId="apple-converted-space">
    <w:name w:val="apple-converted-space"/>
    <w:basedOn w:val="VarsaylanParagrafYazTipi"/>
    <w:rsid w:val="0026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847241">
      <w:bodyDiv w:val="1"/>
      <w:marLeft w:val="0"/>
      <w:marRight w:val="0"/>
      <w:marTop w:val="0"/>
      <w:marBottom w:val="0"/>
      <w:divBdr>
        <w:top w:val="none" w:sz="0" w:space="0" w:color="auto"/>
        <w:left w:val="none" w:sz="0" w:space="0" w:color="auto"/>
        <w:bottom w:val="none" w:sz="0" w:space="0" w:color="auto"/>
        <w:right w:val="none" w:sz="0" w:space="0" w:color="auto"/>
      </w:divBdr>
    </w:div>
    <w:div w:id="1013923723">
      <w:bodyDiv w:val="1"/>
      <w:marLeft w:val="0"/>
      <w:marRight w:val="0"/>
      <w:marTop w:val="0"/>
      <w:marBottom w:val="0"/>
      <w:divBdr>
        <w:top w:val="none" w:sz="0" w:space="0" w:color="auto"/>
        <w:left w:val="none" w:sz="0" w:space="0" w:color="auto"/>
        <w:bottom w:val="none" w:sz="0" w:space="0" w:color="auto"/>
        <w:right w:val="none" w:sz="0" w:space="0" w:color="auto"/>
      </w:divBdr>
    </w:div>
    <w:div w:id="1367219187">
      <w:bodyDiv w:val="1"/>
      <w:marLeft w:val="0"/>
      <w:marRight w:val="0"/>
      <w:marTop w:val="0"/>
      <w:marBottom w:val="0"/>
      <w:divBdr>
        <w:top w:val="none" w:sz="0" w:space="0" w:color="auto"/>
        <w:left w:val="none" w:sz="0" w:space="0" w:color="auto"/>
        <w:bottom w:val="none" w:sz="0" w:space="0" w:color="auto"/>
        <w:right w:val="none" w:sz="0" w:space="0" w:color="auto"/>
      </w:divBdr>
    </w:div>
    <w:div w:id="20849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79266-6117-4A8F-951B-BBE75A75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2475</Words>
  <Characters>14112</Characters>
  <Application>Microsoft Office Word</Application>
  <DocSecurity>0</DocSecurity>
  <Lines>117</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Paltun</dc:creator>
  <cp:lastModifiedBy>sekreterya-pc</cp:lastModifiedBy>
  <cp:revision>2</cp:revision>
  <cp:lastPrinted>2015-05-04T13:59:00Z</cp:lastPrinted>
  <dcterms:created xsi:type="dcterms:W3CDTF">2015-05-09T09:35:00Z</dcterms:created>
  <dcterms:modified xsi:type="dcterms:W3CDTF">2015-05-09T09:35:00Z</dcterms:modified>
</cp:coreProperties>
</file>